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form6-k.htm"/>
      <w:bookmarkStart w:id="1" w:name="ksform6k"/>
      <w:bookmarkEnd w:id="0"/>
      <w:bookmarkEnd w:id="1"/>
      <w:r>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333-297175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IMC RARE EARTHS LTD</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Paulista, 1765, 7th Floor, São Paulo, São Paulo, 0311-930, Brazil</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2026, IMC Rare Earths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entered into an underwriting agreement (the “</w:t>
      </w:r>
      <w:r>
        <w:rPr>
          <w:rFonts w:ascii="Times New Roman;Times;Serif" w:hAnsi="Times New Roman;Times;Serif"/>
          <w:b w:val="false"/>
          <w:i w:val="false"/>
          <w:caps w:val="false"/>
          <w:smallCaps w:val="false"/>
          <w:sz w:val="20"/>
          <w:u w:val="single"/>
        </w:rPr>
        <w:t>Underwriting Agreement</w:t>
      </w:r>
      <w:r>
        <w:rPr>
          <w:rFonts w:ascii="Times New Roman;Times;Serif" w:hAnsi="Times New Roman;Times;Serif"/>
          <w:b w:val="false"/>
          <w:i w:val="false"/>
          <w:caps w:val="false"/>
          <w:smallCaps w:val="false"/>
          <w:sz w:val="20"/>
        </w:rPr>
        <w:t>”) with Roberts &amp; Ryan, Inc., as the representative of the several Underwriters named in the Underwriting Agreement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relating to the Company’s initial public offering (the “</w:t>
      </w:r>
      <w:r>
        <w:rPr>
          <w:rFonts w:ascii="Times New Roman;Times;Serif" w:hAnsi="Times New Roman;Times;Serif"/>
          <w:b w:val="false"/>
          <w:i w:val="false"/>
          <w:caps w:val="false"/>
          <w:smallCaps w:val="false"/>
          <w:sz w:val="20"/>
          <w:u w:val="single"/>
        </w:rPr>
        <w:t>IPO</w:t>
      </w:r>
      <w:r>
        <w:rPr>
          <w:rFonts w:ascii="Times New Roman;Times;Serif" w:hAnsi="Times New Roman;Times;Serif"/>
          <w:b w:val="false"/>
          <w:i w:val="false"/>
          <w:caps w:val="false"/>
          <w:smallCaps w:val="false"/>
          <w:sz w:val="20"/>
        </w:rPr>
        <w:t>”) of 4,000,000 ordinary shares, $0.0001 par value per share (the “</w:t>
      </w:r>
      <w:r>
        <w:rPr>
          <w:rFonts w:ascii="Times New Roman;Times;Serif" w:hAnsi="Times New Roman;Times;Serif"/>
          <w:b w:val="false"/>
          <w:i w:val="false"/>
          <w:caps w:val="false"/>
          <w:smallCaps w:val="false"/>
          <w:sz w:val="20"/>
          <w:u w:val="single"/>
        </w:rPr>
        <w:t>Ordinary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IPO, the Company issued a press release on July 28, 2026 announcing the pricing and trading of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30, 2026, the Company closed the IPO. The Company completed the IPO pursuant to its registration statement on Form F-1 (File No. </w:t>
      </w:r>
      <w:r>
        <w:rPr>
          <w:rFonts w:ascii="Times New Roman;Times;Serif" w:hAnsi="Times New Roman;Times;Serif"/>
          <w:b w:val="false"/>
          <w:i w:val="false"/>
          <w:caps w:val="false"/>
          <w:smallCaps w:val="false"/>
          <w:sz w:val="20"/>
          <w:u w:val="single"/>
        </w:rPr>
        <w:t>333-297175</w:t>
      </w:r>
      <w:r>
        <w:rPr>
          <w:rFonts w:ascii="Times New Roman;Times;Serif" w:hAnsi="Times New Roman;Times;Serif"/>
          <w:b w:val="false"/>
          <w:i w:val="false"/>
          <w:caps w:val="false"/>
          <w:smallCaps w:val="false"/>
          <w:sz w:val="20"/>
        </w:rPr>
        <w:t>), which was initially filed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on June 30, 2026, as amended, and declared effective by the SEC on July 28, 2026. The Ordinary Shares were priced at $5.00 per share, and the offering was conducted on a firm commitment basis. The Ordinary Shares were previously approved for listing on NYSE American LLC and commenced trading under the ticker symbol “IMC” on July 29,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IPO, the Company issued a press release on July 30, 2026 announcing the closing of the IPO.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the Underwriting Agreement, the pricing press release and the closing press release, are attached hereto as Exhibits 1.1, 99.1 and 99.2, respectively, and are incorporated by reference herein. The foregoing summaries of the terms of the Underwriting Agreement are subject to, and qualified in their entirety by, such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4125" w:type="dxa"/>
        <w:jc w:val="left"/>
        <w:tblInd w:w="0" w:type="dxa"/>
        <w:tblLayout w:type="fixed"/>
        <w:tblCellMar>
          <w:top w:w="0" w:type="dxa"/>
          <w:left w:w="0" w:type="dxa"/>
          <w:bottom w:w="0" w:type="dxa"/>
          <w:right w:w="0" w:type="dxa"/>
        </w:tblCellMar>
      </w:tblPr>
      <w:tblGrid>
        <w:gridCol w:w="1625"/>
        <w:gridCol w:w="545"/>
        <w:gridCol w:w="1955"/>
      </w:tblGrid>
      <w:tr>
        <w:trPr/>
        <w:tc>
          <w:tcPr>
            <w:tcW w:w="1625"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IMC RARE EARTHS LTD</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July 30, 2026</w:t>
            </w:r>
          </w:p>
        </w:tc>
        <w:tc>
          <w:tcPr>
            <w:tcW w:w="545"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Francesco Scolaro</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Francesco Scolaro</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30"/>
        <w:gridCol w:w="60"/>
        <w:gridCol w:w="9015"/>
      </w:tblGrid>
      <w:tr>
        <w:trPr/>
        <w:tc>
          <w:tcPr>
            <w:tcW w:w="1130"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15"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1130" w:type="dxa"/>
            <w:tcBorders/>
            <w:tcMar>
              <w:bottom w:w="0" w:type="dxa"/>
            </w:tcMar>
            <w:vAlign w:val="center"/>
          </w:tcPr>
          <w:p>
            <w:pPr>
              <w:pStyle w:val="TableContents"/>
              <w:bidi w:val="0"/>
              <w:spacing w:before="0" w:after="283"/>
              <w:jc w:val="left"/>
              <w:rPr/>
            </w:pPr>
            <w:r>
              <w:rPr/>
              <w:t>1.1*</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both"/>
              <w:rPr/>
            </w:pPr>
            <w:hyperlink w:anchor="ex1-1.htm">
              <w:r>
                <w:rPr>
                  <w:rStyle w:val="InternetLink"/>
                </w:rPr>
                <w:t>Underwriting Agreement dated July 28, 2026 by and between IMC Rare Earths Ltd and Roberts &amp; Ryan, Inc.</w:t>
              </w:r>
            </w:hyperlink>
          </w:p>
        </w:tc>
      </w:tr>
      <w:tr>
        <w:trPr/>
        <w:tc>
          <w:tcPr>
            <w:tcW w:w="1130"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both"/>
              <w:rPr/>
            </w:pPr>
            <w:hyperlink w:anchor="ex99-1.htm">
              <w:r>
                <w:rPr>
                  <w:rStyle w:val="InternetLink"/>
                </w:rPr>
                <w:t xml:space="preserve">Press Release issued on July 28, 2026, on Pricing and Trading of IMC Rare Earths Ltd’s Initial Public Offering. </w:t>
              </w:r>
            </w:hyperlink>
          </w:p>
        </w:tc>
      </w:tr>
      <w:tr>
        <w:trPr/>
        <w:tc>
          <w:tcPr>
            <w:tcW w:w="1130" w:type="dxa"/>
            <w:tcBorders/>
            <w:tcMar>
              <w:bottom w:w="0" w:type="dxa"/>
            </w:tcMar>
            <w:vAlign w:val="center"/>
          </w:tcPr>
          <w:p>
            <w:pPr>
              <w:pStyle w:val="TableContents"/>
              <w:bidi w:val="0"/>
              <w:spacing w:before="0" w:after="283"/>
              <w:jc w:val="left"/>
              <w:rPr/>
            </w:pPr>
            <w:r>
              <w:rPr/>
              <w:t>99.2</w:t>
            </w:r>
          </w:p>
        </w:tc>
        <w:tc>
          <w:tcPr>
            <w:tcW w:w="60" w:type="dxa"/>
            <w:tcBorders/>
            <w:tcMar>
              <w:bottom w:w="0" w:type="dxa"/>
            </w:tcMar>
            <w:vAlign w:val="center"/>
          </w:tcPr>
          <w:p>
            <w:pPr>
              <w:pStyle w:val="TableContents"/>
              <w:bidi w:val="0"/>
              <w:spacing w:before="0" w:after="283"/>
              <w:jc w:val="left"/>
              <w:rPr/>
            </w:pPr>
            <w:r>
              <w:rPr/>
              <w:t> </w:t>
            </w:r>
          </w:p>
        </w:tc>
        <w:tc>
          <w:tcPr>
            <w:tcW w:w="9015" w:type="dxa"/>
            <w:tcBorders/>
            <w:tcMar>
              <w:bottom w:w="0" w:type="dxa"/>
            </w:tcMar>
            <w:vAlign w:val="center"/>
          </w:tcPr>
          <w:p>
            <w:pPr>
              <w:pStyle w:val="TableContents"/>
              <w:bidi w:val="0"/>
              <w:spacing w:before="0" w:after="283"/>
              <w:jc w:val="both"/>
              <w:rPr/>
            </w:pPr>
            <w:hyperlink w:anchor="ex99-2.htm">
              <w:r>
                <w:rPr>
                  <w:rStyle w:val="InternetLink"/>
                </w:rPr>
                <w:t xml:space="preserve">Press Release issued on July 30, 2026 on Closing of IMC Rare Earths Ltd’s Initial Public Offering. </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18"/>
        </w:rPr>
      </w:pPr>
      <w:r>
        <w:rPr>
          <w:rFonts w:ascii="Times New Roman;Times;Serif" w:hAnsi="Times New Roman;Times;Serif"/>
          <w:b w:val="false"/>
          <w:i/>
          <w:caps w:val="false"/>
          <w:smallCaps w:val="false"/>
          <w:sz w:val="18"/>
        </w:rPr>
        <w:t>* The exhibits and schedules to this Exhibit have been omitted in accordance with Item 601(b)(2) of Regulation S-K. The Registrant agrees to furnish supplementally to the SEC a copy of all omitted exhibits and schedules upon its request.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ex1-1.htm"/>
      <w:bookmarkStart w:id="3" w:name="ksex1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28,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Roberts &amp; Ryan,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Broadway, Suite 610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IMC Rare Earths Ltd, a holding company incorporated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confirms its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with Roberts &amp; Ryan, Inc.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xml:space="preserve">”), and with the other underwriters named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for which the Representative is acting as representative (the Representative and such other underwriters being collectively called the “</w:t>
      </w:r>
      <w:r>
        <w:rPr>
          <w:rFonts w:ascii="Times New Roman;Times;Serif" w:hAnsi="Times New Roman;Times;Serif"/>
          <w:b/>
          <w:i w:val="false"/>
          <w:caps w:val="false"/>
          <w:smallCaps w:val="false"/>
          <w:sz w:val="20"/>
        </w:rPr>
        <w:t>Underwriters</w:t>
      </w:r>
      <w:r>
        <w:rPr>
          <w:rFonts w:ascii="Times New Roman;Times;Serif" w:hAnsi="Times New Roman;Times;Serif"/>
          <w:b w:val="false"/>
          <w:i w:val="false"/>
          <w:caps w:val="false"/>
          <w:smallCaps w:val="false"/>
          <w:sz w:val="20"/>
        </w:rPr>
        <w:t>” and, individually, an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Purchase and Sale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Firm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Purchase of Firm Shares</w:t>
      </w:r>
      <w:r>
        <w:rPr>
          <w:rFonts w:ascii="Times New Roman;Times;Serif" w:hAnsi="Times New Roman;Times;Serif"/>
          <w:b w:val="false"/>
          <w:i w:val="false"/>
          <w:caps w:val="false"/>
          <w:smallCaps w:val="false"/>
          <w:sz w:val="20"/>
        </w:rPr>
        <w:t>. On the basis of the representations and warranties herein contained, upon the terms and subject to the conditions herein set forth, the Company agrees to issue and sell to the several Underwriters, severally and not jointly, and the Underwriters agree to purchase from the Company, severally and not jointly, an aggregate of 4,000,000 ordinary shares (individually a “</w:t>
      </w:r>
      <w:r>
        <w:rPr>
          <w:rFonts w:ascii="Times New Roman;Times;Serif" w:hAnsi="Times New Roman;Times;Serif"/>
          <w:b/>
          <w:i w:val="false"/>
          <w:caps w:val="false"/>
          <w:smallCaps w:val="false"/>
          <w:sz w:val="20"/>
        </w:rPr>
        <w:t>Firm 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Firm Shares</w:t>
      </w:r>
      <w:r>
        <w:rPr>
          <w:rFonts w:ascii="Times New Roman;Times;Serif" w:hAnsi="Times New Roman;Times;Serif"/>
          <w:b w:val="false"/>
          <w:i w:val="false"/>
          <w:caps w:val="false"/>
          <w:smallCaps w:val="false"/>
          <w:sz w:val="20"/>
        </w:rPr>
        <w:t>”) of the Company, par value $0.0001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xml:space="preserve">”) as set forth opposite their respective names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at a purchase price (net of discounts and commissions) of $4.675 per Firm Share, being equal to 93.5% of the public offering price of the Firm Shares. The Firm Shares are to be offered initially to the public at the offering price of $5.00, as set forth on the cover page of the Prospectus (as defined in Section 2.1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Payment and Delivery</w:t>
      </w:r>
      <w:r>
        <w:rPr>
          <w:rFonts w:ascii="Times New Roman;Times;Serif" w:hAnsi="Times New Roman;Times;Serif"/>
          <w:b w:val="false"/>
          <w:i w:val="false"/>
          <w:caps w:val="false"/>
          <w:smallCaps w:val="false"/>
          <w:sz w:val="20"/>
        </w:rPr>
        <w:t>. Delivery and payment for the Firm Shares shall be made at 10:00 a.m., New York City time, on the first (1st) Business Day (as defined below) following the effective date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of the Registration Statement (as defined in Section 2.1 hereof) (or the second (2nd) Business Day following the Effective Date if the Registration Statement is declared effective after 4:00 p.m., New York City time), or at such other time as shall be agreed upon by the Representative and the Company, at the offices of Loeb &amp; Loeb LLP, (the “</w:t>
      </w:r>
      <w:r>
        <w:rPr>
          <w:rFonts w:ascii="Times New Roman;Times;Serif" w:hAnsi="Times New Roman;Times;Serif"/>
          <w:b/>
          <w:i w:val="false"/>
          <w:caps w:val="false"/>
          <w:smallCaps w:val="false"/>
          <w:sz w:val="20"/>
        </w:rPr>
        <w:t>Representative’s Counsel</w:t>
      </w:r>
      <w:r>
        <w:rPr>
          <w:rFonts w:ascii="Times New Roman;Times;Serif" w:hAnsi="Times New Roman;Times;Serif"/>
          <w:b w:val="false"/>
          <w:i w:val="false"/>
          <w:caps w:val="false"/>
          <w:smallCaps w:val="false"/>
          <w:sz w:val="20"/>
        </w:rPr>
        <w:t>”), or at such other place (or remotely by facsimile or other electronic transmission) as shall be agreed upon by the Representative and the Company. The date of delivery and payment for the Firm Shares is called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Payment for the Firm Shares shall be made on the Closing Date by wire transfer in federal (same day) funds, payable to the order of the Company upon delivery to the Representative of certificates (in form and substance satisfactory to the Representative) representing the Firm Shares (or through the full, fast transfer facilities of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for the account of the Underwriters. The Firm Shares shall be registered in such name or names and in such authorized denominations as the Representative may request in writing at least two (2) Business Days prior to the Closing Date. The Company shall not be obligated to sell or deliver the Firm Shares except upon tender of payment by the Representative for all of the Firm Shares. The term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legal holiday or any other day on which commercial banks in The City of New York, New York, are authorized or required by law to remain closed; provided, however, that,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New York, are generally open for use by customers on such day.</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Over-Allotment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 </w:t>
      </w:r>
      <w:r>
        <w:rPr>
          <w:rFonts w:ascii="Times New Roman;Times;Serif" w:hAnsi="Times New Roman;Times;Serif"/>
          <w:b w:val="false"/>
          <w:i w:val="false"/>
          <w:caps w:val="false"/>
          <w:smallCaps w:val="false"/>
          <w:sz w:val="20"/>
          <w:u w:val="single"/>
        </w:rPr>
        <w:t>Option Shares</w:t>
      </w:r>
      <w:r>
        <w:rPr>
          <w:rFonts w:ascii="Times New Roman;Times;Serif" w:hAnsi="Times New Roman;Times;Serif"/>
          <w:b w:val="false"/>
          <w:i w:val="false"/>
          <w:caps w:val="false"/>
          <w:smallCaps w:val="false"/>
          <w:sz w:val="20"/>
        </w:rPr>
        <w:t>. For the purpose only of covering any over-allotments in connection with the distribution and sale of the Firm Shares, the Company hereby grants to the Underwriters an option to purchase up to 600,000 additional Ordinary Shares, representing fifteen percent (15%) of the total number of Ordinary Shares offered in the offering (the “</w:t>
      </w:r>
      <w:r>
        <w:rPr>
          <w:rFonts w:ascii="Times New Roman;Times;Serif" w:hAnsi="Times New Roman;Times;Serif"/>
          <w:b/>
          <w:i w:val="false"/>
          <w:caps w:val="false"/>
          <w:smallCaps w:val="false"/>
          <w:sz w:val="20"/>
        </w:rPr>
        <w:t>Option Shares</w:t>
      </w:r>
      <w:r>
        <w:rPr>
          <w:rFonts w:ascii="Times New Roman;Times;Serif" w:hAnsi="Times New Roman;Times;Serif"/>
          <w:b w:val="false"/>
          <w:i w:val="false"/>
          <w:caps w:val="false"/>
          <w:smallCaps w:val="false"/>
          <w:sz w:val="20"/>
        </w:rPr>
        <w:t>”), from the Company (the “</w:t>
      </w:r>
      <w:r>
        <w:rPr>
          <w:rFonts w:ascii="Times New Roman;Times;Serif" w:hAnsi="Times New Roman;Times;Serif"/>
          <w:b/>
          <w:i w:val="false"/>
          <w:caps w:val="false"/>
          <w:smallCaps w:val="false"/>
          <w:sz w:val="20"/>
        </w:rPr>
        <w:t>Over-Allotment Option</w:t>
      </w:r>
      <w:r>
        <w:rPr>
          <w:rFonts w:ascii="Times New Roman;Times;Serif" w:hAnsi="Times New Roman;Times;Serif"/>
          <w:b w:val="false"/>
          <w:i w:val="false"/>
          <w:caps w:val="false"/>
          <w:smallCaps w:val="false"/>
          <w:sz w:val="20"/>
        </w:rPr>
        <w:t>”). No Option Shares shall be sold or delivered unless the Firm Shares previously have been, or simultaneously are, sold and delivered. The right to purchase the Option Shares, or any portion thereof, may be exercised from time to time and to the extent not previously exercised may be surrendered and terminated at any time upon notice by the Representative to the Company. The purchase price to be paid per Option Share shall be equal to the price per Firm Share set forth in Section 1.1.1 hereof. The Firm Shares and the Option Shares are hereinafter referred to together as the “</w:t>
      </w:r>
      <w:r>
        <w:rPr>
          <w:rFonts w:ascii="Times New Roman;Times;Serif" w:hAnsi="Times New Roman;Times;Serif"/>
          <w:b/>
          <w:i w:val="false"/>
          <w:caps w:val="false"/>
          <w:smallCaps w:val="false"/>
          <w:sz w:val="20"/>
        </w:rPr>
        <w:t>Public Securities</w:t>
      </w:r>
      <w:r>
        <w:rPr>
          <w:rFonts w:ascii="Times New Roman;Times;Serif" w:hAnsi="Times New Roman;Times;Serif"/>
          <w:b w:val="false"/>
          <w:i w:val="false"/>
          <w:caps w:val="false"/>
          <w:smallCaps w:val="false"/>
          <w:sz w:val="20"/>
        </w:rPr>
        <w:t>.” The offering and sale of the Public Securities is herein referred to as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1.2.2. </w:t>
      </w:r>
      <w:r>
        <w:rPr>
          <w:rFonts w:ascii="Times New Roman;Times;Serif" w:hAnsi="Times New Roman;Times;Serif"/>
          <w:b w:val="false"/>
          <w:i w:val="false"/>
          <w:caps w:val="false"/>
          <w:smallCaps w:val="false"/>
          <w:sz w:val="20"/>
          <w:u w:val="single"/>
        </w:rPr>
        <w:t>Exercise of Option</w:t>
      </w:r>
      <w:r>
        <w:rPr>
          <w:rFonts w:ascii="Times New Roman;Times;Serif" w:hAnsi="Times New Roman;Times;Serif"/>
          <w:b w:val="false"/>
          <w:i w:val="false"/>
          <w:caps w:val="false"/>
          <w:smallCaps w:val="false"/>
          <w:sz w:val="20"/>
        </w:rPr>
        <w:t>. The Over-Allotment Option granted pursuant to Section 1.2.1 hereof may be exercised by the Underwriters as to all (at any time) or any part (from time to time) of the Option Shares within 45 days after the Closing Date. The Underwriters shall not be under any obligation to purchase any Option Shares prior to the exercise of the Over-Allotment Option. The Over-Allotment Option granted hereby may be exercised by the giving of oral notice to the Company by the Underwriters, which must be confirmed no later than the next business day by electronic mail setting forth the number of Option Shares to be purchased and the date and time for delivery of and payment for the Option Shares (the “</w:t>
      </w:r>
      <w:r>
        <w:rPr>
          <w:rFonts w:ascii="Times New Roman;Times;Serif" w:hAnsi="Times New Roman;Times;Serif"/>
          <w:b/>
          <w:i w:val="false"/>
          <w:caps w:val="false"/>
          <w:smallCaps w:val="false"/>
          <w:sz w:val="20"/>
        </w:rPr>
        <w:t>Option Closing Date</w:t>
      </w:r>
      <w:r>
        <w:rPr>
          <w:rFonts w:ascii="Times New Roman;Times;Serif" w:hAnsi="Times New Roman;Times;Serif"/>
          <w:b w:val="false"/>
          <w:i w:val="false"/>
          <w:caps w:val="false"/>
          <w:smallCaps w:val="false"/>
          <w:sz w:val="20"/>
        </w:rPr>
        <w:t>”), which shall not be later than five (5) full Business Days after the date of the electronic confirmation notice or such other time as shall be agreed upon by the Company and the Underwriters, at the offices of Loeb &amp; Loeb LLP or at such other place (including remotely by facsimile or other electronic transmission) as shall be agreed upon by the Company and the Underwriters. If such delivery and payment for the Option Shares does not occur on the Closing Date, the Option Closing Date will be as set forth in the notice. The Underwriters may cancel any exercise of the Over-Allotment Option at any time prior to the Option Closing Date by giving written notice of such cancellation to the Company. Upon exercise of the Over-Allotment Option with respect to all or any portion of the Option Shares, subject to the terms and conditions set forth herein, the Company shall become obligated to sell to the Underwriters the number of Option Shares specified in such notice and, subject to the terms and conditions set forth herein, the Underwriters , acting severally and not jointly, shall purchase the number of Option Shares specified in such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1.2.3. </w:t>
      </w:r>
      <w:r>
        <w:rPr>
          <w:rFonts w:ascii="Times New Roman;Times;Serif" w:hAnsi="Times New Roman;Times;Serif"/>
          <w:b w:val="false"/>
          <w:i w:val="false"/>
          <w:caps w:val="false"/>
          <w:smallCaps w:val="false"/>
          <w:sz w:val="20"/>
          <w:u w:val="single"/>
        </w:rPr>
        <w:t>Payment and Delivery</w:t>
      </w:r>
      <w:r>
        <w:rPr>
          <w:rFonts w:ascii="Times New Roman;Times;Serif" w:hAnsi="Times New Roman;Times;Serif"/>
          <w:b w:val="false"/>
          <w:i w:val="false"/>
          <w:caps w:val="false"/>
          <w:smallCaps w:val="false"/>
          <w:sz w:val="20"/>
        </w:rPr>
        <w:t>. Payment for the Option Shares shall be made on the Option Closing Date by wire transfer in federal (same day) funds, payable to the order of the Company upon delivery to the Representative of certificates (in form and substance satisfactory to the Representative) representing the Option Shares (or through the facilities of DTC) for the account of the Underwriters. The Option Shares shall be registered in such name or names and in such authorized denominations as the Representative may request in writing at least two (2) full Business Days prior to the Option Closing Date. The Company shall not be obligated to sell or deliver the Option Shares except upon tender of payment by the Representative for applicable Option Shares. The Option Closing Date may be simultaneous with, but not earlier than, the Closing Date; and in the event that such time and date are simultaneous with the Closing Date, the term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refer to the time and date of delivery of the Firm Shares and Option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Advisory Fee</w:t>
      </w:r>
      <w:r>
        <w:rPr>
          <w:rFonts w:ascii="Times New Roman;Times;Serif" w:hAnsi="Times New Roman;Times;Serif"/>
          <w:b w:val="false"/>
          <w:i w:val="false"/>
          <w:caps w:val="false"/>
          <w:smallCaps w:val="false"/>
          <w:sz w:val="20"/>
        </w:rPr>
        <w:t>. The Company agrees to pay the Underwriters an advisory fee in connection with the Offering in the amount of $100,000. The Underwriters hereby confirm the receipt of such advisory fee.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Underwriters as of the Applicable Time (as defined in Section 2.1 hereof), as of the Closing Date and as of the Option Closing Date, if any,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 </w:t>
      </w:r>
      <w:r>
        <w:rPr>
          <w:rFonts w:ascii="Times New Roman;Times;Serif" w:hAnsi="Times New Roman;Times;Serif"/>
          <w:b w:val="false"/>
          <w:i w:val="false"/>
          <w:caps w:val="false"/>
          <w:smallCaps w:val="false"/>
          <w:sz w:val="20"/>
          <w:u w:val="single"/>
        </w:rPr>
        <w:t>Filin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of Registration Statement</w:t>
      </w:r>
      <w:r>
        <w:rPr>
          <w:rFonts w:ascii="Times New Roman;Times;Serif" w:hAnsi="Times New Roman;Times;Serif"/>
          <w:b w:val="false"/>
          <w:i w:val="false"/>
          <w:caps w:val="false"/>
          <w:smallCaps w:val="false"/>
          <w:sz w:val="20"/>
        </w:rPr>
        <w:t>.</w:t>
      </w:r>
    </w:p>
    <w:p>
      <w:pPr>
        <w:pStyle w:val="TextBody"/>
        <w:bidi w:val="0"/>
        <w:spacing w:before="0" w:after="0"/>
        <w:ind w:left="8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Pursuant to the Securities Act</w:t>
      </w:r>
      <w:r>
        <w:rPr>
          <w:rFonts w:ascii="Times New Roman;Times;Serif" w:hAnsi="Times New Roman;Times;Serif"/>
          <w:b w:val="false"/>
          <w:i w:val="false"/>
          <w:caps w:val="false"/>
          <w:smallCaps w:val="false"/>
          <w:sz w:val="20"/>
        </w:rPr>
        <w:t>. The Company has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and any amendment or amendments thereto, on Form F-1 (File No. 333-297175), including any related prospectus or prospectuses, for the registration of the Public Securities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which registration statement and amendment or amendments have been prepared by the Company in conformity with the requirements of the Securities Act and the rules and regulations of the Commission under the Securities Act (the “</w:t>
      </w:r>
      <w:r>
        <w:rPr>
          <w:rFonts w:ascii="Times New Roman;Times;Serif" w:hAnsi="Times New Roman;Times;Serif"/>
          <w:b/>
          <w:i w:val="false"/>
          <w:caps w:val="false"/>
          <w:smallCaps w:val="false"/>
          <w:sz w:val="20"/>
        </w:rPr>
        <w:t>Securities Act Regulations</w:t>
      </w:r>
      <w:r>
        <w:rPr>
          <w:rFonts w:ascii="Times New Roman;Times;Serif" w:hAnsi="Times New Roman;Times;Serif"/>
          <w:b w:val="false"/>
          <w:i w:val="false"/>
          <w:caps w:val="false"/>
          <w:smallCaps w:val="false"/>
          <w:sz w:val="20"/>
        </w:rPr>
        <w:t>”). The conditions for use of Form F-1, as set forth in the General Instructions to such Form, to register the Public Securities under the Securities Act have been satisfied. Except as the context may otherwise require, such registration statement, as amended, on file with the Commission at the time the registration statement became effective (including the Preliminary Prospectus (as defined below) included in the registration statement, financial statements, schedules, exhibits and all other documents filed as a part thereof or incorporated therein and all information deemed to be a part thereof as of the Effective Date pursuant to Rule 430A of the Securities Act Regulations (the “</w:t>
      </w:r>
      <w:r>
        <w:rPr>
          <w:rFonts w:ascii="Times New Roman;Times;Serif" w:hAnsi="Times New Roman;Times;Serif"/>
          <w:b/>
          <w:i w:val="false"/>
          <w:caps w:val="false"/>
          <w:smallCaps w:val="false"/>
          <w:sz w:val="20"/>
        </w:rPr>
        <w:t>Rule 430A Information</w:t>
      </w:r>
      <w:r>
        <w:rPr>
          <w:rFonts w:ascii="Times New Roman;Times;Serif" w:hAnsi="Times New Roman;Times;Serif"/>
          <w:b w:val="false"/>
          <w:i w:val="false"/>
          <w:caps w:val="false"/>
          <w:smallCaps w:val="false"/>
          <w:sz w:val="20"/>
        </w:rPr>
        <w:t>”)), is referred to herein as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If the Company files any registration statement pursuant to Rule 462(b) of the Securities Act Regulations, then after such filing, the term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include such registration statement filed pursuant to Rule 462(b).</w:t>
      </w:r>
    </w:p>
    <w:p>
      <w:pPr>
        <w:pStyle w:val="TextBody"/>
        <w:bidi w:val="0"/>
        <w:spacing w:before="0" w:after="0"/>
        <w:ind w:left="0" w:right="0" w:firstLine="13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Times New Roman;Times;Serif" w:hAnsi="Times New Roman;Times;Serif"/>
          <w:b/>
          <w:i w:val="false"/>
          <w:caps w:val="false"/>
          <w:smallCaps w:val="false"/>
          <w:sz w:val="20"/>
        </w:rPr>
        <w:t>Preliminary Prospectus</w:t>
      </w:r>
      <w:r>
        <w:rPr>
          <w:rFonts w:ascii="Times New Roman;Times;Serif" w:hAnsi="Times New Roman;Times;Serif"/>
          <w:b w:val="false"/>
          <w:i w:val="false"/>
          <w:caps w:val="false"/>
          <w:smallCaps w:val="false"/>
          <w:sz w:val="20"/>
        </w:rPr>
        <w:t>.” The Preliminary Prospectus, subject to completion, dated July 14, 2026, that was included in the Registration Statement immediately prior to the Applicable Time is hereinafter called the “</w:t>
      </w:r>
      <w:r>
        <w:rPr>
          <w:rFonts w:ascii="Times New Roman;Times;Serif" w:hAnsi="Times New Roman;Times;Serif"/>
          <w:b/>
          <w:i w:val="false"/>
          <w:caps w:val="false"/>
          <w:smallCaps w:val="false"/>
          <w:sz w:val="20"/>
        </w:rPr>
        <w:t>Pricing Prospectus</w:t>
      </w:r>
      <w:r>
        <w:rPr>
          <w:rFonts w:ascii="Times New Roman;Times;Serif" w:hAnsi="Times New Roman;Times;Serif"/>
          <w:b w:val="false"/>
          <w:i w:val="false"/>
          <w:caps w:val="false"/>
          <w:smallCaps w:val="false"/>
          <w:sz w:val="20"/>
        </w:rPr>
        <w:t>.” The prospectus, in the form in which it is to be filed with the Commission pursuant to Rule 424(b), or, if the prospectus is not to be filed with the Commission pursuant to Rule 424(b), the prospectus in the form included as part of the Registration Statement at the time the Registration Statement became effective, is hereinafter referred to as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Any reference to the “most recent Preliminary Prospectus” shall be deemed to refer to the latest Preliminary Prospectus included in the Registration Statement.</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Applicable Time</w:t>
      </w:r>
      <w:r>
        <w:rPr>
          <w:rFonts w:ascii="Times New Roman;Times;Serif" w:hAnsi="Times New Roman;Times;Serif"/>
          <w:b w:val="false"/>
          <w:i w:val="false"/>
          <w:caps w:val="false"/>
          <w:smallCaps w:val="false"/>
          <w:sz w:val="20"/>
        </w:rPr>
        <w:t>” means 5:30 p.m., New York City, New York time, on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Company’s knowledge</w:t>
      </w:r>
      <w:r>
        <w:rPr>
          <w:rFonts w:ascii="Times New Roman;Times;Serif" w:hAnsi="Times New Roman;Times;Serif"/>
          <w:b w:val="false"/>
          <w:i w:val="false"/>
          <w:caps w:val="false"/>
          <w:smallCaps w:val="false"/>
          <w:sz w:val="20"/>
        </w:rPr>
        <w:t>” means the actual knowledge of the executive officers of the Company after due inquiry.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Free Writing Prospectus</w:t>
      </w:r>
      <w:r>
        <w:rPr>
          <w:rFonts w:ascii="Times New Roman;Times;Serif" w:hAnsi="Times New Roman;Times;Serif"/>
          <w:b w:val="false"/>
          <w:i w:val="false"/>
          <w:caps w:val="false"/>
          <w:smallCaps w:val="false"/>
          <w:sz w:val="20"/>
        </w:rPr>
        <w:t>” means any “issuer free writing prospectus,” as defined in Rule 433 of the Securities Act Regulations (“</w:t>
      </w:r>
      <w:r>
        <w:rPr>
          <w:rFonts w:ascii="Times New Roman;Times;Serif" w:hAnsi="Times New Roman;Times;Serif"/>
          <w:b/>
          <w:i w:val="false"/>
          <w:caps w:val="false"/>
          <w:smallCaps w:val="false"/>
          <w:sz w:val="20"/>
        </w:rPr>
        <w:t>Rule 433</w:t>
      </w:r>
      <w:r>
        <w:rPr>
          <w:rFonts w:ascii="Times New Roman;Times;Serif" w:hAnsi="Times New Roman;Times;Serif"/>
          <w:b w:val="false"/>
          <w:i w:val="false"/>
          <w:caps w:val="false"/>
          <w:smallCaps w:val="false"/>
          <w:sz w:val="20"/>
        </w:rPr>
        <w:t>”), including without limitation any “free writing prospectus” (as defined in Rule 405 of the Securities Act Regulations) relating to the Public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Public Securities or of the Offering that does not reflect the final terms, in each case in the form filed or required to be filed with the Commission or, if not required to be filed, in the form retained in the Company’s records pursuant to Rule 433(g).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Issuer General Use Free Writing Prospectus</w:t>
      </w:r>
      <w:r>
        <w:rPr>
          <w:rFonts w:ascii="Times New Roman;Times;Serif" w:hAnsi="Times New Roman;Times;Serif"/>
          <w:b w:val="false"/>
          <w:i w:val="false"/>
          <w:caps w:val="false"/>
          <w:smallCaps w:val="false"/>
          <w:sz w:val="20"/>
        </w:rPr>
        <w:t>” means any Issuer Free Writing Prospectus that is intended for general distribution to prospective investors (other than a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electronic road show,” as defined in Rule 433(h)(5) under the Securities Act (the “</w:t>
      </w:r>
      <w:r>
        <w:rPr>
          <w:rFonts w:ascii="Times New Roman;Times;Serif" w:hAnsi="Times New Roman;Times;Serif"/>
          <w:b/>
          <w:i w:val="false"/>
          <w:caps w:val="false"/>
          <w:smallCaps w:val="false"/>
          <w:sz w:val="20"/>
        </w:rPr>
        <w:t>Bona Fide Electronic Road Show</w:t>
      </w:r>
      <w:r>
        <w:rPr>
          <w:rFonts w:ascii="Times New Roman;Times;Serif" w:hAnsi="Times New Roman;Times;Serif"/>
          <w:b w:val="false"/>
          <w:i w:val="false"/>
          <w:caps w:val="false"/>
          <w:smallCaps w:val="false"/>
          <w:sz w:val="20"/>
        </w:rPr>
        <w:t xml:space="preserve">”)), as evidenced by its being specified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Pricing Disclosure Package</w:t>
      </w:r>
      <w:r>
        <w:rPr>
          <w:rFonts w:ascii="Times New Roman;Times;Serif" w:hAnsi="Times New Roman;Times;Serif"/>
          <w:b w:val="false"/>
          <w:i w:val="false"/>
          <w:caps w:val="false"/>
          <w:smallCaps w:val="false"/>
          <w:sz w:val="20"/>
        </w:rPr>
        <w:t xml:space="preserve">” means (i) any Issuer General Use Free Writing Prospectus issued at or prior to the Applicable Time, (ii) the Pricing Prospectus, (iii) the pricing information set forth in </w:t>
      </w:r>
      <w:r>
        <w:rPr>
          <w:rFonts w:ascii="Times New Roman;Times;Serif" w:hAnsi="Times New Roman;Times;Serif"/>
          <w:b w:val="false"/>
          <w:i w:val="false"/>
          <w:caps w:val="false"/>
          <w:smallCaps w:val="false"/>
          <w:sz w:val="20"/>
          <w:u w:val="single"/>
        </w:rPr>
        <w:t>Schedule 2</w:t>
      </w:r>
      <w:r>
        <w:rPr>
          <w:rFonts w:ascii="Times New Roman;Times;Serif" w:hAnsi="Times New Roman;Times;Serif"/>
          <w:b w:val="false"/>
          <w:i w:val="false"/>
          <w:caps w:val="false"/>
          <w:smallCaps w:val="false"/>
          <w:sz w:val="20"/>
        </w:rPr>
        <w:t xml:space="preserve"> hereto, and (iv) any other free writing prospectus that the parties hereto shall hereafter expressly agree in writing to treat as part of the Pricing Disclosure Package, all considered together.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Pursuant to the 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Act</w:t>
      </w:r>
      <w:r>
        <w:rPr>
          <w:rFonts w:ascii="Times New Roman;Times;Serif" w:hAnsi="Times New Roman;Times;Serif"/>
          <w:b w:val="false"/>
          <w:i w:val="false"/>
          <w:caps w:val="false"/>
          <w:smallCaps w:val="false"/>
          <w:sz w:val="20"/>
        </w:rPr>
        <w:t>. The Company shall, prior to the Closing Date, file with the Commission a Form 8-A (File No. 001-43421) providing for the registration pursuant to Section 12(b)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of the Ordinary Shares. The registration of the Ordinary Shares under the Exchange Act has been declared effective by the Commission on or prior to the date hereof. The Company has taken no action designed to, or likely to have the effect of, terminating the registration of the Ordinary Shares under the Exchange Act, nor has the Company received any notification that the Commission is contemplating terminating such registration.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Stock 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Listing</w:t>
      </w:r>
      <w:r>
        <w:rPr>
          <w:rFonts w:ascii="Times New Roman;Times;Serif" w:hAnsi="Times New Roman;Times;Serif"/>
          <w:b w:val="false"/>
          <w:i w:val="false"/>
          <w:caps w:val="false"/>
          <w:smallCaps w:val="false"/>
          <w:sz w:val="20"/>
        </w:rPr>
        <w:t>. The Ordinary Shares have been approved for listing on NYSE American LLC (the “</w:t>
      </w:r>
      <w:r>
        <w:rPr>
          <w:rFonts w:ascii="Times New Roman;Times;Serif" w:hAnsi="Times New Roman;Times;Serif"/>
          <w:b/>
          <w:i w:val="false"/>
          <w:caps w:val="false"/>
          <w:smallCaps w:val="false"/>
          <w:sz w:val="20"/>
        </w:rPr>
        <w:t>Exchange</w:t>
      </w:r>
      <w:r>
        <w:rPr>
          <w:rFonts w:ascii="Times New Roman;Times;Serif" w:hAnsi="Times New Roman;Times;Serif"/>
          <w:b w:val="false"/>
          <w:i w:val="false"/>
          <w:caps w:val="false"/>
          <w:smallCaps w:val="false"/>
          <w:sz w:val="20"/>
        </w:rPr>
        <w:t>”), subject only to official notice of issuance, and the Company has taken no action designed to, or likely to have the effect of, delisting the Ordinary Shares from the Exchange, nor has the Company received any notification that the Exchange is contemplating terminating such listing except as described in the Registration Statement,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No Stop Orders, etc</w:t>
      </w:r>
      <w:r>
        <w:rPr>
          <w:rFonts w:ascii="Times New Roman;Times;Serif" w:hAnsi="Times New Roman;Times;Serif"/>
          <w:b w:val="false"/>
          <w:i w:val="false"/>
          <w:caps w:val="false"/>
          <w:smallCaps w:val="false"/>
          <w:sz w:val="20"/>
        </w:rPr>
        <w:t>. Neither the Commission nor any state regulatory authority has issued any order preventing 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Disclosures in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r>
        <w:rPr>
          <w:rFonts w:ascii="Times New Roman;Times;Serif" w:hAnsi="Times New Roman;Times;Serif"/>
          <w:b w:val="false"/>
          <w:i w:val="false"/>
          <w:caps w:val="false"/>
          <w:smallCaps w:val="false"/>
          <w:sz w:val="20"/>
          <w:u w:val="single"/>
        </w:rPr>
        <w:t>Compliance with Securities Act and 10b-5 Representation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At the time of effectiveness of the Registration Statement (or at the time of any post-effective amendment to the Registration Statement) and at all times subsequent thereto up to the Closing Date and the Option Closing Date, if any, the Registration Statement, the Preliminary Prospectus and the Prospectus do and will contain all material statements that are required to be stated therein in accordance with the Securities Act and the Securities Act Regulations, and did or will, in all material respects, conform to the requirements of the Securities Act and the Securities Act Regulations. 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the Commission’s EDGAR filing system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in the light of the circumstances under which they were made, not misleading.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Pricing Disclosure Package, as of the Applicable Time, at the Closing Date and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Free Writing Prospectus, if any, does not conflict in any material respect with the information contained in the Registration Statement, any Preliminary Prospectus, the Pricing Prospectus or the Prospectus, and each such Issuer Free Writing Prospectus, if any, as supplemented by and taken together with the Pricing Prospectus as of the Applicable Time, did not include an untrue statement of a material fact or omit to state a material fact necessary in order to make the statements therein, in the light of the circumstances under which they were made, not misleading; provided, however, that this representation and warranty shall not apply to statements made or statements omitted in reliance upon and in conformity with written information furnished to the Company with respect to the Underwriters by the Representative expressly for use in the Registration Statement, the Pricing Prospectus or the Prospectus or any amendment thereof or supplement thereto. The parties acknowledge and agree that such information provided by or on behalf of any Underwriter consists solely of (i) the name of the Underwriters; and (ii) the “Underwriting” section of the Prospectus (the “</w:t>
      </w:r>
      <w:r>
        <w:rPr>
          <w:rFonts w:ascii="Times New Roman;Times;Serif" w:hAnsi="Times New Roman;Times;Serif"/>
          <w:b/>
          <w:i w:val="false"/>
          <w:caps w:val="false"/>
          <w:smallCaps w:val="false"/>
          <w:sz w:val="20"/>
        </w:rPr>
        <w:t>Underwriters’ Information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Neither the Prospectus nor any amendment or supplement thereto, as of its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the Underwriters’ Information.</w:t>
      </w:r>
    </w:p>
    <w:p>
      <w:pPr>
        <w:pStyle w:val="TextBody"/>
        <w:bidi w:val="0"/>
        <w:spacing w:before="0" w:after="0"/>
        <w:ind w:left="60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6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 </w:t>
      </w:r>
      <w:r>
        <w:rPr>
          <w:rFonts w:ascii="Times New Roman;Times;Serif" w:hAnsi="Times New Roman;Times;Serif"/>
          <w:b w:val="false"/>
          <w:i w:val="false"/>
          <w:caps w:val="false"/>
          <w:smallCaps w:val="false"/>
          <w:sz w:val="20"/>
          <w:u w:val="single"/>
        </w:rPr>
        <w:t>Disclosure of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reements</w:t>
      </w:r>
      <w:r>
        <w:rPr>
          <w:rFonts w:ascii="Times New Roman;Times;Serif" w:hAnsi="Times New Roman;Times;Serif"/>
          <w:b w:val="false"/>
          <w:i w:val="false"/>
          <w:caps w:val="false"/>
          <w:smallCaps w:val="false"/>
          <w:sz w:val="20"/>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or any of its properties is or may be bound or affected and that is (i) referred to in the Registration Statement, the Pricing Disclosure Package and the Prospectus, or (ii) material to the Company’s business, has been duly authorized and validly executed by the Company, is in full force and effect in all material respects and constitutes the legal, valid and binding obligation of the Company,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for such defaults that would not reasonably be expected to result in a Material Adverse Change (as defined in Section 2.5.1 hereof). To the Company’s knowledge, performance by the Company of the material provisions of such agreements or instruments will not result in a violation of any existing applicable law, rule, regulation, judgment, order or decree of any governmental or regulatory agency, authority, body, entity or court, domestic or foreign, having jurisdiction over the Company or any of its assets or businesses (each, a “</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including, without limitation, those relating to environmental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w:t>
      </w:r>
      <w:r>
        <w:rPr>
          <w:rFonts w:ascii="Times New Roman;Times;Serif" w:hAnsi="Times New Roman;Times;Serif"/>
          <w:b w:val="false"/>
          <w:i w:val="false"/>
          <w:caps w:val="false"/>
          <w:smallCaps w:val="false"/>
          <w:sz w:val="20"/>
          <w:u w:val="single"/>
        </w:rPr>
        <w:t>Prior Securities Transactions</w:t>
      </w:r>
      <w:r>
        <w:rPr>
          <w:rFonts w:ascii="Times New Roman;Times;Serif" w:hAnsi="Times New Roman;Times;Serif"/>
          <w:b w:val="false"/>
          <w:i w:val="false"/>
          <w:caps w:val="false"/>
          <w:smallCaps w:val="false"/>
          <w:sz w:val="20"/>
        </w:rPr>
        <w:t>. No securities of the Company have been sold by the Company or by or on behalf of, or for the benefit of, any person or persons controlling, controlled by or under common control with the Company, except as disclosed in the Registration Statement, the Pricing Disclosure Package and the Preliminary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2.4.4. </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ulations</w:t>
      </w:r>
      <w:r>
        <w:rPr>
          <w:rFonts w:ascii="Times New Roman;Times;Serif" w:hAnsi="Times New Roman;Times;Serif"/>
          <w:b w:val="false"/>
          <w:i w:val="false"/>
          <w:caps w:val="false"/>
          <w:smallCaps w:val="false"/>
          <w:sz w:val="20"/>
        </w:rPr>
        <w:t>. The disclosures in the Registration Statement, the Pricing Disclosure Package and the Prospectus concerning the effects of material applicable federal, state, local and any applicable foreign laws, rules and regulations relating to the Offering and the Company’s business as currently conducted or contemplated are correct and complete in all material respects and no other such laws, rules or regulations are required to be disclosed in the Registration Statement, the Pricing Disclosure Package and the Prospectus which are not so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w:t>
      </w:r>
      <w:r>
        <w:rPr>
          <w:rFonts w:ascii="Times New Roman;Times;Serif" w:hAnsi="Times New Roman;Times;Serif"/>
          <w:b w:val="false"/>
          <w:i w:val="false"/>
          <w:caps w:val="false"/>
          <w:smallCaps w:val="false"/>
          <w:sz w:val="20"/>
          <w:u w:val="single"/>
        </w:rPr>
        <w:t>No Other Distribution of Offerin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Materials</w:t>
      </w:r>
      <w:r>
        <w:rPr>
          <w:rFonts w:ascii="Times New Roman;Times;Serif" w:hAnsi="Times New Roman;Times;Serif"/>
          <w:b w:val="false"/>
          <w:i w:val="false"/>
          <w:caps w:val="false"/>
          <w:smallCaps w:val="false"/>
          <w:sz w:val="20"/>
        </w:rPr>
        <w:t>. The Company has not, directly or indirectly, distributed and will not distribute any offering material in connection with the Offering other than any Preliminary Prospectus, any Issuer Free Writing Prospectus, the Prospectus and other materials, if any, permitted under the Securities Act and consistent with Section 3.2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 </w:t>
      </w:r>
      <w:r>
        <w:rPr>
          <w:rFonts w:ascii="Times New Roman;Times;Serif" w:hAnsi="Times New Roman;Times;Serif"/>
          <w:b w:val="false"/>
          <w:i w:val="false"/>
          <w:caps w:val="false"/>
          <w:smallCaps w:val="false"/>
          <w:sz w:val="20"/>
          <w:u w:val="single"/>
        </w:rPr>
        <w:t>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es After Dates in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the respective dates as of which information is given in the Registration Statement, the Pricing Disclosure Package and the Prospectus, except as otherwise specifically stated therein: (i) there has been no material adverse change in the condition, financial or otherwise, results of operations, business, assets or prospects of the Company and its Subsidiaries (as defined in Section 2.8 hereof) taken as a whole, nor, to the Company’s knowledge, any change or development that, individually or in the aggregate, would have a material adverse effect on the condition (financial or otherwise), results of operations, business, assets or prospects of the Company and its Subsidiaries taken as a whole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(ii) there have been no material transactions entered into by the Company or its Subsidiaries, other than as contemplated pursuant to this Agreement; and (iii) no executive officer or director of the Company has resigned from any position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 </w:t>
      </w:r>
      <w:r>
        <w:rPr>
          <w:rFonts w:ascii="Times New Roman;Times;Serif" w:hAnsi="Times New Roman;Times;Serif"/>
          <w:b w:val="false"/>
          <w:i w:val="false"/>
          <w:caps w:val="false"/>
          <w:smallCaps w:val="false"/>
          <w:sz w:val="20"/>
          <w:u w:val="single"/>
        </w:rPr>
        <w:t>Recent Securities Transactions, etc</w:t>
      </w:r>
      <w:r>
        <w:rPr>
          <w:rFonts w:ascii="Times New Roman;Times;Serif" w:hAnsi="Times New Roman;Times;Serif"/>
          <w:b w:val="false"/>
          <w:i w:val="false"/>
          <w:caps w:val="false"/>
          <w:smallCaps w:val="false"/>
          <w:sz w:val="20"/>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 </w:t>
      </w:r>
      <w:r>
        <w:rPr>
          <w:rFonts w:ascii="Times New Roman;Times;Serif" w:hAnsi="Times New Roman;Times;Serif"/>
          <w:b w:val="false"/>
          <w:i w:val="false"/>
          <w:caps w:val="false"/>
          <w:smallCaps w:val="false"/>
          <w:sz w:val="20"/>
          <w:u w:val="single"/>
        </w:rPr>
        <w:t>Disclosures in Commission Filings</w:t>
      </w:r>
      <w:r>
        <w:rPr>
          <w:rFonts w:ascii="Times New Roman;Times;Serif" w:hAnsi="Times New Roman;Times;Serif"/>
          <w:b w:val="false"/>
          <w:i w:val="false"/>
          <w:caps w:val="false"/>
          <w:smallCaps w:val="false"/>
          <w:sz w:val="20"/>
        </w:rPr>
        <w:t>. None of the Company’s filings with, or other documents furnished to, the Commission contained any untrue statement of a material fact or omitted to state any material fact necessary in order to make the statements therein, in the light of the circumstances under which they were made, not misleading; provided, however, that this representation and warranty shall not apply to the Underwriters’ Information. The Company has made all filings with the Commission required under the Exchange Act and the rules and regulations of the Commission promulgated thereunder (the “</w:t>
      </w:r>
      <w:r>
        <w:rPr>
          <w:rFonts w:ascii="Times New Roman;Times;Serif" w:hAnsi="Times New Roman;Times;Serif"/>
          <w:b/>
          <w:i w:val="false"/>
          <w:caps w:val="false"/>
          <w:smallCaps w:val="false"/>
          <w:sz w:val="20"/>
        </w:rPr>
        <w:t>Exchange Act Regulations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2.7. </w:t>
      </w:r>
      <w:r>
        <w:rPr>
          <w:rFonts w:ascii="Times New Roman;Times;Serif" w:hAnsi="Times New Roman;Times;Serif"/>
          <w:b w:val="false"/>
          <w:i w:val="false"/>
          <w:caps w:val="false"/>
          <w:smallCaps w:val="false"/>
          <w:sz w:val="20"/>
          <w:u w:val="single"/>
        </w:rPr>
        <w:t>Independent Accountants</w:t>
      </w:r>
      <w:r>
        <w:rPr>
          <w:rFonts w:ascii="Times New Roman;Times;Serif" w:hAnsi="Times New Roman;Times;Serif"/>
          <w:b w:val="false"/>
          <w:i w:val="false"/>
          <w:caps w:val="false"/>
          <w:smallCaps w:val="false"/>
          <w:sz w:val="20"/>
        </w:rPr>
        <w:t>. UHY LLP, the Company’s auditor (the “</w:t>
      </w:r>
      <w:r>
        <w:rPr>
          <w:rFonts w:ascii="Times New Roman;Times;Serif" w:hAnsi="Times New Roman;Times;Serif"/>
          <w:b/>
          <w:i w:val="false"/>
          <w:caps w:val="false"/>
          <w:smallCaps w:val="false"/>
          <w:sz w:val="20"/>
        </w:rPr>
        <w:t>Auditor</w:t>
      </w:r>
      <w:r>
        <w:rPr>
          <w:rFonts w:ascii="Times New Roman;Times;Serif" w:hAnsi="Times New Roman;Times;Serif"/>
          <w:b w:val="false"/>
          <w:i w:val="false"/>
          <w:caps w:val="false"/>
          <w:smallCaps w:val="false"/>
          <w:sz w:val="20"/>
        </w:rPr>
        <w:t>”) whose report is filed with the Commission as part of the Registration Statement, the Pricing Disclosure Package and the Prospectus, is an independent registered public accounting firm as required by the Securities Act and the Securities Act Regulations and the Public Company Accounting Oversight Board (“</w:t>
      </w:r>
      <w:r>
        <w:rPr>
          <w:rFonts w:ascii="Times New Roman;Times;Serif" w:hAnsi="Times New Roman;Times;Serif"/>
          <w:b/>
          <w:i w:val="false"/>
          <w:caps w:val="false"/>
          <w:smallCaps w:val="false"/>
          <w:sz w:val="20"/>
        </w:rPr>
        <w:t>PCAOB</w:t>
      </w:r>
      <w:r>
        <w:rPr>
          <w:rFonts w:ascii="Times New Roman;Times;Serif" w:hAnsi="Times New Roman;Times;Serif"/>
          <w:b w:val="false"/>
          <w:i w:val="false"/>
          <w:caps w:val="false"/>
          <w:smallCaps w:val="false"/>
          <w:sz w:val="20"/>
        </w:rPr>
        <w:t>”), including the rules and regulations promulgated by such entity. To the Company’s knowledge, after reasonable inquiry, the Auditor is currently registered and in good standing with the PCAOB. The Auditor has not, during the periods covered by the financial statements included in the Registration Statement, the Pricing Disclosure Package and the Prospectus, provided to the Company any non-audit services, within the meaning of such term in Section 10A(g)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 </w:t>
      </w:r>
      <w:r>
        <w:rPr>
          <w:rFonts w:ascii="Times New Roman;Times;Serif" w:hAnsi="Times New Roman;Times;Serif"/>
          <w:b w:val="false"/>
          <w:i w:val="false"/>
          <w:caps w:val="false"/>
          <w:smallCaps w:val="false"/>
          <w:sz w:val="20"/>
          <w:u w:val="single"/>
        </w:rPr>
        <w:t>Financial Statements, etc</w:t>
      </w:r>
      <w:r>
        <w:rPr>
          <w:rFonts w:ascii="Times New Roman;Times;Serif" w:hAnsi="Times New Roman;Times;Serif"/>
          <w:b w:val="false"/>
          <w:i w:val="false"/>
          <w:caps w:val="false"/>
          <w:smallCaps w:val="false"/>
          <w:sz w:val="20"/>
        </w:rPr>
        <w:t>. The financial statements, together with the related notes and schedules, included in the Registration Statement, the Pricing Disclosure Package and the Prospectus comply in all material respects with the applicable requirements of the Securities Act and the related rules and regulations adopted by the Commission and present fairly the consolidated financial position of the Company and the Subsidiaries as of and at the dates indicated and the consolidated results of operations, cash flows and changes in shareholders’ equity of the Company for the periods specified. Such financial statements, notes and schedules have been prepared in conformity with the International Financial Reporting Standards as issued by the International Accounting Standards Board (the “</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applied on a consistent basis throughout the periods involved. The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the information shown therein, and, in the judgment of the Company, the assumptions used in the preparation thereof are reasonable and the adjustments used therein are appropriate to give effect to the transactions and circumstances referred to therein. The historical financial data set forth in the Registration Statement, the Pricing Disclosure Package and the Final Prospectus under the captions “Capitalization” and “Management’s Discussion and Analysis of Financial Condition and Results of Operations” to the extent such historical financial data are extracted or derived from the consolidated financial statements and the related schedules and notes thereto have been duly extracted or derived from the consolidated financial statements and present fairly the information set forth therein on a basis consistent with that of the audited consolidated financial statements included in the Registration Statement, the Pricing Disclosure Package and the Prospectus. The other financial data contained in the Registration Statement, the Pricing Disclosure Package and the Prospectus are accurately and fairly presented and prepared on a basis consistent with the financial statements and books and records of the Company; and the Company and the Subsidiaries do not have any material liabilities or obligations, direct or contingent (including any off-balance sheet obligations) not described in the Registration Statement, the Pricing Disclosure Package and the Prospectus. Except as disclosed in the Registration Statement, the Pricing Disclosure Package and the Prospectus, (a) since the date of the last balance sheet included in the Registration Statement, the Pricing Disclosure Package and the Prospectus, neither the Company nor any of its direct or indirect subsidiaries, including each entity disclosed or described in the Registration Statement, the Pricing Disclosure Package and the Prospectus as being a subsidiary of the Company (each, a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Subsidiaries</w:t>
      </w:r>
      <w:r>
        <w:rPr>
          <w:rFonts w:ascii="Times New Roman;Times;Serif" w:hAnsi="Times New Roman;Times;Serif"/>
          <w:b w:val="false"/>
          <w:i w:val="false"/>
          <w:caps w:val="false"/>
          <w:smallCaps w:val="false"/>
          <w:sz w:val="20"/>
        </w:rPr>
        <w:t>”), has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change in the capital stock of the Company or any of its Subsidiaries, or, other than in the ordinary course of business, any grants under any stock compensation plan, and (d) there has not been any material adverse change in the Company’s long-term or short-term debt. The Company represents that it has no direct or indirect Subsidiaries other than those listed in Exhibit 21 to the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2.9. </w:t>
      </w:r>
      <w:r>
        <w:rPr>
          <w:rFonts w:ascii="Times New Roman;Times;Serif" w:hAnsi="Times New Roman;Times;Serif"/>
          <w:b w:val="false"/>
          <w:i w:val="false"/>
          <w:caps w:val="false"/>
          <w:smallCaps w:val="false"/>
          <w:sz w:val="20"/>
          <w:u w:val="single"/>
        </w:rPr>
        <w:t>Authorized Capital; Options, etc</w:t>
      </w:r>
      <w:r>
        <w:rPr>
          <w:rFonts w:ascii="Times New Roman;Times;Serif" w:hAnsi="Times New Roman;Times;Serif"/>
          <w:b w:val="false"/>
          <w:i w:val="false"/>
          <w:caps w:val="false"/>
          <w:smallCaps w:val="false"/>
          <w:sz w:val="20"/>
        </w:rPr>
        <w:t>. The Company had, at the date or dates indicated in the Registration Statement, the Pricing Disclosure Package and the Prospectus, the duly authorized, issued and outstanding capitalization as set forth therein. Based on the assumptions stated in the Registration Statement, the Pricing Disclosure Package and the Prospectus, the Company will have on the Closing Date or on the Option Closing Date, as the case may be, the adjusted capitalization set forth therein. Except as set forth in, or contemplated by, the Registration Statement, the Pricing Disclosure Package and the Prospectus, on the Effective Date, as of the Applicable Time and on the Closing Date and any Option Closing Date, there will be no stock options, warrants, or other rights to purchase or otherwise acquire any authorized, but unissued Ordinary Shares of the Company or any security convertible into any class of Ordinary Shares of the Company, or any contracts or commitments to issue or sell any class of Ordinary Shares or any such options, warrants, rights or convertible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 </w:t>
      </w:r>
      <w:r>
        <w:rPr>
          <w:rFonts w:ascii="Times New Roman;Times;Serif" w:hAnsi="Times New Roman;Times;Serif"/>
          <w:b w:val="false"/>
          <w:i w:val="false"/>
          <w:caps w:val="false"/>
          <w:smallCaps w:val="false"/>
          <w:sz w:val="20"/>
          <w:u w:val="single"/>
        </w:rPr>
        <w:t>Valid Issuance of Securities, etc</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2.10.1. </w:t>
      </w:r>
      <w:r>
        <w:rPr>
          <w:rFonts w:ascii="Times New Roman;Times;Serif" w:hAnsi="Times New Roman;Times;Serif"/>
          <w:b w:val="false"/>
          <w:i w:val="false"/>
          <w:caps w:val="false"/>
          <w:smallCaps w:val="false"/>
          <w:sz w:val="20"/>
          <w:u w:val="single"/>
        </w:rPr>
        <w:t>Outstandin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All issued and outstanding securities of the Company issued prior to the transactions contemplated by this Agreement have been duly authorized and validly issued and are fully paid and non-assessable (meaning that the holder thereof shall not, solely by virtue of its status as a shareholder, be liable for additional assessments or calls on such shares by the Company or its creditors (except in exceptional circumstances, such as involving fraud, the establishment of an agency relationship or an illegal or improper purpose or other circumstance in which a court may be prepared to pierce or lift the corporate veil));, the holders thereof have no contractual rights of rescission or the ability to require the Company to repurchase such securities, and are not subject to personal liability by reason of being such holders; and none of such securities were issued in violation of the preemptive rights, rights of first refusal or rights of participation of any holders of any security of the Company or similar contractual rights granted by the Company. The authorized Ordinary Shares conform in all material respects to all statements relating thereto contained in the Registration Statement, the Pricing Disclosure Package and the Prospectus. Prior to the date hereof, all offers and sales of the outstanding Ordinary Shares, options, warrants and other rights to purchase or exchange such securities for the Ordinary Shares were at all relevant times either registered under the Securities Act and the applicable state securities or “blue sky” laws or based in part on the representations and warranties of the purchasers of such Ordinary Shares, or were sold to non-U.S. residents outside of the United States and exempt from such registration requirements. The description of the Company’s stock option, stock bonus and other stock plans or arrangements, and the options or other rights granted thereunder, as described in the Registration Statement, the Pricing Disclosure Package and the Prospectus, accurately and fairly present, in all material respects, the information required to be shown with respect to such plans, arrangements, options and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2.10.2. </w:t>
      </w:r>
      <w:r>
        <w:rPr>
          <w:rFonts w:ascii="Times New Roman;Times;Serif" w:hAnsi="Times New Roman;Times;Serif"/>
          <w:b w:val="false"/>
          <w:i w:val="false"/>
          <w:caps w:val="false"/>
          <w:smallCaps w:val="false"/>
          <w:sz w:val="20"/>
          <w:u w:val="single"/>
        </w:rPr>
        <w:t>Securities Sold Pursuant to this Agreement</w:t>
      </w:r>
      <w:r>
        <w:rPr>
          <w:rFonts w:ascii="Times New Roman;Times;Serif" w:hAnsi="Times New Roman;Times;Serif"/>
          <w:b w:val="false"/>
          <w:i w:val="false"/>
          <w:caps w:val="false"/>
          <w:smallCaps w:val="false"/>
          <w:sz w:val="20"/>
        </w:rPr>
        <w:t>. The Public Securities have been duly authorized for issuance and sale and, when issued and paid for, will be validly issued, fully paid and non-assessable (meaning that the holder thereof shall not, solely by virtue of its status as a shareholder, be liable for additional assessments or calls on such shares by the Company or its creditors (except in exceptional circumstances, such as involving fraud, the establishment of an agency relationship or an illegal or improper purpose or other circumstance in which a court may be prepared to pierce or lift the corporate veil)); the Public Securities are not and will not be subject to the preemptive rights of any holders of any security of the Company or similar contractual rights granted by the Company; and all corporate action required to be taken for the authorization, issuance and sale of the Public Securities has been duly and validly taken.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2.11 </w:t>
      </w:r>
      <w:r>
        <w:rPr>
          <w:rFonts w:ascii="Times New Roman;Times;Serif" w:hAnsi="Times New Roman;Times;Serif"/>
          <w:b w:val="false"/>
          <w:i w:val="false"/>
          <w:caps w:val="false"/>
          <w:smallCaps w:val="false"/>
          <w:sz w:val="20"/>
          <w:u w:val="single"/>
        </w:rPr>
        <w:t>Registration Rights of Third Parties</w:t>
      </w:r>
      <w:r>
        <w:rPr>
          <w:rFonts w:ascii="Times New Roman;Times;Serif" w:hAnsi="Times New Roman;Times;Serif"/>
          <w:b w:val="false"/>
          <w:i w:val="false"/>
          <w:caps w:val="false"/>
          <w:smallCaps w:val="false"/>
          <w:sz w:val="20"/>
        </w:rPr>
        <w:t>. Except as set forth in the Registration Statement, the Pricing Disclosure Package and the Prospectus, no holders of any securities of the Company or any options, warrants, rights or other securities exercisable for or convertible or exchangeable into securities of the Company have the right to require the Company to register any such securities of the Company under the Securities Act or to include any such securities in the Registration Statement or any other registration statement to be filed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2.12. </w:t>
      </w:r>
      <w:r>
        <w:rPr>
          <w:rFonts w:ascii="Times New Roman;Times;Serif" w:hAnsi="Times New Roman;Times;Serif"/>
          <w:b w:val="false"/>
          <w:i w:val="false"/>
          <w:caps w:val="false"/>
          <w:smallCaps w:val="false"/>
          <w:sz w:val="20"/>
          <w:u w:val="single"/>
        </w:rPr>
        <w:t>Validity and Binding Effect of Agreement</w:t>
      </w:r>
      <w:r>
        <w:rPr>
          <w:rFonts w:ascii="Times New Roman;Times;Serif" w:hAnsi="Times New Roman;Times;Serif"/>
          <w:b w:val="false"/>
          <w:i w:val="false"/>
          <w:caps w:val="false"/>
          <w:smallCaps w:val="false"/>
          <w:sz w:val="20"/>
        </w:rPr>
        <w:t>. This Agreement has been duly and validly authorized by the Company, and, when executed and delivered by the Company, will constitute, the legal valid and binding agreement of the Company, enforceable against the Company in accordance with its terms, except in each case: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2.13. </w:t>
      </w:r>
      <w:r>
        <w:rPr>
          <w:rFonts w:ascii="Times New Roman;Times;Serif" w:hAnsi="Times New Roman;Times;Serif"/>
          <w:b w:val="false"/>
          <w:i w:val="false"/>
          <w:caps w:val="false"/>
          <w:smallCaps w:val="false"/>
          <w:sz w:val="20"/>
          <w:u w:val="single"/>
        </w:rPr>
        <w:t>No Conflicts, etc</w:t>
      </w:r>
      <w:r>
        <w:rPr>
          <w:rFonts w:ascii="Times New Roman;Times;Serif" w:hAnsi="Times New Roman;Times;Serif"/>
          <w:b w:val="false"/>
          <w:i w:val="false"/>
          <w:caps w:val="false"/>
          <w:smallCaps w:val="false"/>
          <w:sz w:val="20"/>
        </w:rPr>
        <w:t>. The execution, delivery and performance by the Company of this Agreement and all other documents ancillary hereto and thereto, the consummation by the Company of the transactions herein and therein contemplated and the compliance by the Company with the terms hereof and thereof do not and will not, with or without the giving of notice or the lapse of time or both: (i) result in any violation of the provisions of the Company’s Memorandum and Articles of Association; (ii) result in a breach or violation of, or conflict with any of the terms and provisions of, or constitute a default under, or result in the creation, modification, termination or imposition of any lien, charge or encumbrance upon any property or assets of the Company pursuant to the terms of any indenture, mortgage, deed of trust, loan agreement or any other agreement or instrument to which the Company is a party or as to which any property of the Company is subject; or (iii) violate any applicable law, rule, regulation, judgment, order or decree of any Governmental Entity as of the date hereof, except, in the case of (ii) or (iii), for those breaches, violations or conflicts which (individually or in the aggregate) would not have or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2.14. </w:t>
      </w:r>
      <w:r>
        <w:rPr>
          <w:rFonts w:ascii="Times New Roman;Times;Serif" w:hAnsi="Times New Roman;Times;Serif"/>
          <w:b w:val="false"/>
          <w:i w:val="false"/>
          <w:caps w:val="false"/>
          <w:smallCaps w:val="false"/>
          <w:sz w:val="20"/>
          <w:u w:val="single"/>
        </w:rPr>
        <w:t>No Defaults; Violations</w:t>
      </w:r>
      <w:r>
        <w:rPr>
          <w:rFonts w:ascii="Times New Roman;Times;Serif" w:hAnsi="Times New Roman;Times;Serif"/>
          <w:b w:val="false"/>
          <w:i w:val="false"/>
          <w:caps w:val="false"/>
          <w:smallCaps w:val="false"/>
          <w:sz w:val="20"/>
        </w:rPr>
        <w:t>. Except as set forth in the Registration Statement, the Pricing Disclosure Package and the Prospectus, no default exists in the due performance and observance of any term, covenant or condition of any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except, in each case, for those defaults which (individually or in the aggregate) would not have or reasonably be expected to result in a Material Adverse Change. The Company is not in violation of any franchise, license, permit, applicable law, rule, regulation, judgment, order or decree of any Governmental Entity, except, in each case, for those violations which (individually and in the aggregate) would not have or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 </w:t>
      </w:r>
      <w:r>
        <w:rPr>
          <w:rFonts w:ascii="Times New Roman;Times;Serif" w:hAnsi="Times New Roman;Times;Serif"/>
          <w:b w:val="false"/>
          <w:i w:val="false"/>
          <w:caps w:val="false"/>
          <w:smallCaps w:val="false"/>
          <w:sz w:val="20"/>
          <w:u w:val="single"/>
        </w:rPr>
        <w:t>Corporate Power; Licenses; Consents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2.15.1. </w:t>
      </w:r>
      <w:r>
        <w:rPr>
          <w:rFonts w:ascii="Times New Roman;Times;Serif" w:hAnsi="Times New Roman;Times;Serif"/>
          <w:b w:val="false"/>
          <w:i w:val="false"/>
          <w:caps w:val="false"/>
          <w:smallCaps w:val="false"/>
          <w:sz w:val="20"/>
          <w:u w:val="single"/>
        </w:rPr>
        <w:t>Conduct of Business</w:t>
      </w:r>
      <w:r>
        <w:rPr>
          <w:rFonts w:ascii="Times New Roman;Times;Serif" w:hAnsi="Times New Roman;Times;Serif"/>
          <w:b w:val="false"/>
          <w:i w:val="false"/>
          <w:caps w:val="false"/>
          <w:smallCaps w:val="false"/>
          <w:sz w:val="20"/>
        </w:rPr>
        <w:t>. Except as described in the Registration Statement, the Pricing Disclosure Package and the Prospectus, the Company has all requisite corporate power and authority, and has all necessary consents, authorizations, approvals, licenses, certificates, clearances, permits and orders and supplements and amendments thereto (collectively, “</w:t>
      </w:r>
      <w:r>
        <w:rPr>
          <w:rFonts w:ascii="Times New Roman;Times;Serif" w:hAnsi="Times New Roman;Times;Serif"/>
          <w:b/>
          <w:i w:val="false"/>
          <w:caps w:val="false"/>
          <w:smallCaps w:val="false"/>
          <w:sz w:val="20"/>
        </w:rPr>
        <w:t>Authorizations</w:t>
      </w:r>
      <w:r>
        <w:rPr>
          <w:rFonts w:ascii="Times New Roman;Times;Serif" w:hAnsi="Times New Roman;Times;Serif"/>
          <w:b w:val="false"/>
          <w:i w:val="false"/>
          <w:caps w:val="false"/>
          <w:smallCaps w:val="false"/>
          <w:sz w:val="20"/>
        </w:rPr>
        <w:t>”) of and from all Governmental Entities required as of the date hereof for the Company to conduct its business as described in the Registration Statement, the Pricing Disclosure Package and the Prospectus, except, in each case, where the failure to have such Authorizations (individually or in the aggregate) would not have or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2.15.2. </w:t>
      </w:r>
      <w:r>
        <w:rPr>
          <w:rFonts w:ascii="Times New Roman;Times;Serif" w:hAnsi="Times New Roman;Times;Serif"/>
          <w:b w:val="false"/>
          <w:i w:val="false"/>
          <w:caps w:val="false"/>
          <w:smallCaps w:val="false"/>
          <w:sz w:val="20"/>
          <w:u w:val="single"/>
        </w:rPr>
        <w:t>Transactions Contemplated Herein</w:t>
      </w:r>
      <w:r>
        <w:rPr>
          <w:rFonts w:ascii="Times New Roman;Times;Serif" w:hAnsi="Times New Roman;Times;Serif"/>
          <w:b w:val="false"/>
          <w:i w:val="false"/>
          <w:caps w:val="false"/>
          <w:smallCaps w:val="false"/>
          <w:sz w:val="20"/>
        </w:rPr>
        <w:t>. The Company has all corporate power and authority to enter into this Agreement and to carry out the provisions and conditions hereof and thereof, and all Authorizations required in connection therewith have been obtained. No Authorization of, and no filing with, any Governmental Entity, or another body is required for the valid issuance, sale and delivery of the Public Securities and the consummation of the transactions contemplated by this Agreement and as contemplated by the Registration Statement, the Pricing Disclosure Package and the Prospectus, except with respect to applicable federal and state securities or blue-sky laws, the rules of Exchange, LLC and the rules and regulations of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2.16. </w:t>
      </w:r>
      <w:r>
        <w:rPr>
          <w:rFonts w:ascii="Times New Roman;Times;Serif" w:hAnsi="Times New Roman;Times;Serif"/>
          <w:b w:val="false"/>
          <w:i w:val="false"/>
          <w:caps w:val="false"/>
          <w:smallCaps w:val="false"/>
          <w:sz w:val="20"/>
          <w:u w:val="single"/>
        </w:rPr>
        <w:t>D&amp;O Questionnaires</w:t>
      </w:r>
      <w:r>
        <w:rPr>
          <w:rFonts w:ascii="Times New Roman;Times;Serif" w:hAnsi="Times New Roman;Times;Serif"/>
          <w:b w:val="false"/>
          <w:i w:val="false"/>
          <w:caps w:val="false"/>
          <w:smallCaps w:val="false"/>
          <w:sz w:val="20"/>
        </w:rPr>
        <w:t>. All information contained in the questionnaires (the “</w:t>
      </w:r>
      <w:r>
        <w:rPr>
          <w:rFonts w:ascii="Times New Roman;Times;Serif" w:hAnsi="Times New Roman;Times;Serif"/>
          <w:b/>
          <w:i w:val="false"/>
          <w:caps w:val="false"/>
          <w:smallCaps w:val="false"/>
          <w:sz w:val="20"/>
        </w:rPr>
        <w:t>Questionnaires</w:t>
      </w:r>
      <w:r>
        <w:rPr>
          <w:rFonts w:ascii="Times New Roman;Times;Serif" w:hAnsi="Times New Roman;Times;Serif"/>
          <w:b w:val="false"/>
          <w:i w:val="false"/>
          <w:caps w:val="false"/>
          <w:smallCaps w:val="false"/>
          <w:sz w:val="20"/>
        </w:rPr>
        <w:t>”) completed by each of the Company’s directors and officers prior to the Offering (the “</w:t>
      </w:r>
      <w:r>
        <w:rPr>
          <w:rFonts w:ascii="Times New Roman;Times;Serif" w:hAnsi="Times New Roman;Times;Serif"/>
          <w:b/>
          <w:i w:val="false"/>
          <w:caps w:val="false"/>
          <w:smallCaps w:val="false"/>
          <w:sz w:val="20"/>
        </w:rPr>
        <w:t>Insiders</w:t>
      </w:r>
      <w:r>
        <w:rPr>
          <w:rFonts w:ascii="Times New Roman;Times;Serif" w:hAnsi="Times New Roman;Times;Serif"/>
          <w:b w:val="false"/>
          <w:i w:val="false"/>
          <w:caps w:val="false"/>
          <w:smallCaps w:val="false"/>
          <w:sz w:val="20"/>
        </w:rPr>
        <w:t>”) as supplemented by all information concerning the Company’s directors and officers set forth in the Registration Statement, the Pricing Disclosure Package and the Prospectus provided to the Representative and its counsel, is, to the knowledge of the Company, true and correct and the Company has not become aware of any information which would cause the information disclosed in the Questionnaires to become inaccurate, incorrect or incomplete.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2.17. </w:t>
      </w:r>
      <w:r>
        <w:rPr>
          <w:rFonts w:ascii="Times New Roman;Times;Serif" w:hAnsi="Times New Roman;Times;Serif"/>
          <w:b w:val="false"/>
          <w:i w:val="false"/>
          <w:caps w:val="false"/>
          <w:smallCaps w:val="false"/>
          <w:sz w:val="20"/>
          <w:u w:val="single"/>
        </w:rPr>
        <w:t>Litigation; Governmental Proceedings</w:t>
      </w:r>
      <w:r>
        <w:rPr>
          <w:rFonts w:ascii="Times New Roman;Times;Serif" w:hAnsi="Times New Roman;Times;Serif"/>
          <w:b w:val="false"/>
          <w:i w:val="false"/>
          <w:caps w:val="false"/>
          <w:smallCaps w:val="false"/>
          <w:sz w:val="20"/>
        </w:rPr>
        <w:t>. There is no action, suit, proceeding, inquiry, arbitration, investigation, litigation or governmental proceeding pending or, to the Company’s knowledge, threatened, against, or involving the Company or, to the Company’s knowledge, any executive officer or director which has not been disclosed in the Registration Statement, the Pricing Disclosure Package and the Prospectus, or in connection with the Company’s listing application for the listing of the Public Securities on the Exchange, and is required to be disclosed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2.18. </w:t>
      </w:r>
      <w:r>
        <w:rPr>
          <w:rFonts w:ascii="Times New Roman;Times;Serif" w:hAnsi="Times New Roman;Times;Serif"/>
          <w:b w:val="false"/>
          <w:i w:val="false"/>
          <w:caps w:val="false"/>
          <w:smallCaps w:val="false"/>
          <w:sz w:val="20"/>
          <w:u w:val="single"/>
        </w:rPr>
        <w:t>Good Standin</w:t>
      </w:r>
      <w:r>
        <w:rPr>
          <w:rFonts w:ascii="Times New Roman;Times;Serif" w:hAnsi="Times New Roman;Times;Serif"/>
          <w:b w:val="false"/>
          <w:i w:val="false"/>
          <w:caps w:val="false"/>
          <w:smallCaps w:val="false"/>
          <w:sz w:val="20"/>
        </w:rPr>
        <w:t>g. The Company and each Subsidiary have been duly incorporated and is validly existing as a corporation and are in good standing under the laws of applicable jurisdictions, as of the date hereof. The Company and each Subsidiary are duly qualified to do business and is in good standing as a foreign corporation in each other jurisdiction in which its ownership or lease of property or the conduct of business requires such qualification, except where the failure to be so qualified or in good standing, individually or in the aggregate, would not have or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2.19.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 </w:t>
      </w:r>
      <w:r>
        <w:rPr>
          <w:rFonts w:ascii="Times New Roman;Times;Serif" w:hAnsi="Times New Roman;Times;Serif"/>
          <w:b w:val="false"/>
          <w:i w:val="false"/>
          <w:caps w:val="false"/>
          <w:smallCaps w:val="false"/>
          <w:sz w:val="20"/>
          <w:u w:val="single"/>
        </w:rPr>
        <w:t>Transactions Affectin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Disclosure to FINRA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2.20.1.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Except as described in the Registration Statement, the Pricing Disclosure Package and the Prospectus, there are no claims, payments, arrangements, agreements or understandings relating to the payment of a finder’s, consulting or origination fee by the Company or, to the Company’s knowledge, any Insider with respect to the sale of the Public Securities hereunder or any other arrangements, agreements or understandings of the Company or, to the Company’s knowledge, any of its shareholders that may affect the Underwriters’ compensation, as determined by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2.20.2. </w:t>
      </w:r>
      <w:r>
        <w:rPr>
          <w:rFonts w:ascii="Times New Roman;Times;Serif" w:hAnsi="Times New Roman;Times;Serif"/>
          <w:b w:val="false"/>
          <w:i w:val="false"/>
          <w:caps w:val="false"/>
          <w:smallCaps w:val="false"/>
          <w:sz w:val="20"/>
          <w:u w:val="single"/>
        </w:rPr>
        <w:t>Payments Within Twelve (12) Months</w:t>
      </w:r>
      <w:r>
        <w:rPr>
          <w:rFonts w:ascii="Times New Roman;Times;Serif" w:hAnsi="Times New Roman;Times;Serif"/>
          <w:b w:val="false"/>
          <w:i w:val="false"/>
          <w:caps w:val="false"/>
          <w:smallCaps w:val="false"/>
          <w:sz w:val="20"/>
        </w:rPr>
        <w:t>. Except as disclosed in writing to the Representative or as described in the Registration Statement, the Pricing Disclosure Package and the Prospectus, the Company has not made any direct or indirect payments in connection with the Offering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(12) months prior to the Effective Date, other than the payment to the Underwriters as provided hereunder in connection with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2.20.3.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None of the net proceeds of the Offering will be paid by the Company to any participating FINRA member or its affiliates, except as specifically authorized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2.20.4. </w:t>
      </w:r>
      <w:r>
        <w:rPr>
          <w:rFonts w:ascii="Times New Roman;Times;Serif" w:hAnsi="Times New Roman;Times;Serif"/>
          <w:b w:val="false"/>
          <w:i w:val="false"/>
          <w:caps w:val="false"/>
          <w:smallCaps w:val="false"/>
          <w:sz w:val="20"/>
          <w:u w:val="single"/>
        </w:rPr>
        <w:t>FINRA Affiliation</w:t>
      </w:r>
      <w:r>
        <w:rPr>
          <w:rFonts w:ascii="Times New Roman;Times;Serif" w:hAnsi="Times New Roman;Times;Serif"/>
          <w:b w:val="false"/>
          <w:i w:val="false"/>
          <w:caps w:val="false"/>
          <w:smallCaps w:val="false"/>
          <w:sz w:val="20"/>
        </w:rPr>
        <w:t>. There is no (i) officer or director of the Company, (ii) to the Company’s knowledge, beneficial owner of 10% or more of any class of the Company’s securities or (iii) to the Company’s knowledge, beneficial owner of the Company’s unregistered equity securities, who acquired any equity securities of the Company during the 180-day period immediately preceding the filing of the Registration Statement that is an affiliate or associated person of a FINRA member participating in the Offering (as determined in accordance with the rules and regulations of FINRA).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2.20.5.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All information provided by the Company in its FINRA questionnaire to counsel to the Underwriters specifically for use in connection with its public offering system (“</w:t>
      </w:r>
      <w:r>
        <w:rPr>
          <w:rFonts w:ascii="Times New Roman;Times;Serif" w:hAnsi="Times New Roman;Times;Serif"/>
          <w:b/>
          <w:i w:val="false"/>
          <w:caps w:val="false"/>
          <w:smallCaps w:val="false"/>
          <w:sz w:val="20"/>
        </w:rPr>
        <w:t>Public Offering System</w:t>
      </w:r>
      <w:r>
        <w:rPr>
          <w:rFonts w:ascii="Times New Roman;Times;Serif" w:hAnsi="Times New Roman;Times;Serif"/>
          <w:b w:val="false"/>
          <w:i w:val="false"/>
          <w:caps w:val="false"/>
          <w:smallCaps w:val="false"/>
          <w:sz w:val="20"/>
        </w:rPr>
        <w:t>”) filings (and related disclosure) with FINRA is true, correct and complete in all material respects.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2.21. </w:t>
      </w:r>
      <w:r>
        <w:rPr>
          <w:rFonts w:ascii="Times New Roman;Times;Serif" w:hAnsi="Times New Roman;Times;Serif"/>
          <w:b w:val="false"/>
          <w:i w:val="false"/>
          <w:caps w:val="false"/>
          <w:smallCaps w:val="false"/>
          <w:sz w:val="20"/>
          <w:u w:val="single"/>
        </w:rPr>
        <w:t>Fore</w:t>
      </w:r>
      <w:r>
        <w:rPr>
          <w:rFonts w:ascii="Times New Roman;Times;Serif" w:hAnsi="Times New Roman;Times;Serif"/>
          <w:b w:val="false"/>
          <w:i w:val="false"/>
          <w:caps w:val="false"/>
          <w:smallCaps w:val="false"/>
          <w:sz w:val="20"/>
        </w:rPr>
        <w:t>ig</w:t>
      </w:r>
      <w:r>
        <w:rPr>
          <w:rFonts w:ascii="Times New Roman;Times;Serif" w:hAnsi="Times New Roman;Times;Serif"/>
          <w:b w:val="false"/>
          <w:i w:val="false"/>
          <w:caps w:val="false"/>
          <w:smallCaps w:val="false"/>
          <w:sz w:val="20"/>
          <w:u w:val="single"/>
        </w:rPr>
        <w:t>n Corrupt Practices Act</w:t>
      </w:r>
      <w:r>
        <w:rPr>
          <w:rFonts w:ascii="Times New Roman;Times;Serif" w:hAnsi="Times New Roman;Times;Serif"/>
          <w:b w:val="false"/>
          <w:i w:val="false"/>
          <w:caps w:val="false"/>
          <w:smallCaps w:val="false"/>
          <w:sz w:val="20"/>
        </w:rPr>
        <w:t>. None of the Company and its Subsidiaries or, to the Company’s knowledge, any director, officer, agent, employee or affiliate of the Company or any of its Subsidiaries or any other person acting on behalf of the Company or any of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Entity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including those arising from the violation of any provision of the Foreign Corrupt Practices Act of 1977, as amended, or the rules and regulations thereunder, the Bribery Act 2010 of the United Kingdom or any other applicable anti-corruption, anti-bribery or related law, statute or regulation (collectively, the “</w:t>
      </w:r>
      <w:r>
        <w:rPr>
          <w:rFonts w:ascii="Times New Roman;Times;Serif" w:hAnsi="Times New Roman;Times;Serif"/>
          <w:b/>
          <w:i w:val="false"/>
          <w:caps w:val="false"/>
          <w:smallCaps w:val="false"/>
          <w:sz w:val="20"/>
        </w:rPr>
        <w:t>Anti-Corruption Laws</w:t>
      </w:r>
      <w:r>
        <w:rPr>
          <w:rFonts w:ascii="Times New Roman;Times;Serif" w:hAnsi="Times New Roman;Times;Serif"/>
          <w:b w:val="false"/>
          <w:i w:val="false"/>
          <w:caps w:val="false"/>
          <w:smallCaps w:val="false"/>
          <w:sz w:val="20"/>
        </w:rPr>
        <w:t>”), (ii) if not given in the past, might have had a Material Adverse Change or (iii) if not continued in the future, might adversely affect the assets, business, operations or prospects of the Company. The Company has taken reasonable steps to maintain policies and procedures, including its accounting controls and procedures, that are reasonably designed to promote and achieve compliance with the Anti-Corruption Laws and with the representations and warranties contained herein; neither the Company nor any of its Subsidiaries will use, directly or indirectly, the proceeds of the Offering in furtherance of an offer, payment, promise to pay, or authorization of the payment or giving of money, or anything else of value, to any person in violation of the Anti-Corruption Laws.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2.22. </w:t>
      </w:r>
      <w:r>
        <w:rPr>
          <w:rFonts w:ascii="Times New Roman;Times;Serif" w:hAnsi="Times New Roman;Times;Serif"/>
          <w:b w:val="false"/>
          <w:i w:val="false"/>
          <w:caps w:val="false"/>
          <w:smallCaps w:val="false"/>
          <w:sz w:val="20"/>
          <w:u w:val="single"/>
        </w:rPr>
        <w:t>Compliance with OFAC</w:t>
      </w:r>
      <w:r>
        <w:rPr>
          <w:rFonts w:ascii="Times New Roman;Times;Serif" w:hAnsi="Times New Roman;Times;Serif"/>
          <w:b w:val="false"/>
          <w:i w:val="false"/>
          <w:caps w:val="false"/>
          <w:smallCaps w:val="false"/>
          <w:sz w:val="20"/>
        </w:rPr>
        <w:t>. None of the Company and its Subsidiaries or, to the Company’s knowledge, any director, officer, agent, employee or affiliate of the Company and its Subsidiaries or any other person acting on behalf of the Company and its Subsidiaries, is currently subject to any U.S. sanctions administered by the Office of Foreign Assets Control of the U.S. Department of the Treasury (“</w:t>
      </w:r>
      <w:r>
        <w:rPr>
          <w:rFonts w:ascii="Times New Roman;Times;Serif" w:hAnsi="Times New Roman;Times;Serif"/>
          <w:b/>
          <w:i w:val="false"/>
          <w:caps w:val="false"/>
          <w:smallCaps w:val="false"/>
          <w:sz w:val="20"/>
        </w:rPr>
        <w:t>OFAC</w:t>
      </w:r>
      <w:r>
        <w:rPr>
          <w:rFonts w:ascii="Times New Roman;Times;Serif" w:hAnsi="Times New Roman;Times;Serif"/>
          <w:b w:val="false"/>
          <w:i w:val="false"/>
          <w:caps w:val="false"/>
          <w:smallCaps w:val="false"/>
          <w:sz w:val="20"/>
        </w:rPr>
        <w:t>”),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2.23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The operations of the Company and its Subsidiaries are and have been conducted at all times in material compliance in all material respects with applicable financial recordkeeping and reporting requirements, including those of the United States Bank Secrecy Act, as amended by Title III of the Uniting and Strengthening America by Providing Appropriate Tools Required to Intercept and Obstruct Terrorism Act of 2001 (USA PATRIOT Act), and the applicable anti-money laundering statutes of jurisdictions where the Company conducts business, and the rules and regulations thereunder and any related or similar rules, regulations or guidelines, issued, administered or enforced by any competent governmental agency (collectively, the “</w:t>
      </w:r>
      <w:r>
        <w:rPr>
          <w:rFonts w:ascii="Times New Roman;Times;Serif" w:hAnsi="Times New Roman;Times;Serif"/>
          <w:b/>
          <w:i w:val="false"/>
          <w:caps w:val="false"/>
          <w:smallCaps w:val="false"/>
          <w:sz w:val="20"/>
        </w:rPr>
        <w:t>Money Laundering Laws</w:t>
      </w:r>
      <w:r>
        <w:rPr>
          <w:rFonts w:ascii="Times New Roman;Times;Serif" w:hAnsi="Times New Roman;Times;Serif"/>
          <w:b w:val="false"/>
          <w:i w:val="false"/>
          <w:caps w:val="false"/>
          <w:smallCaps w:val="false"/>
          <w:sz w:val="20"/>
        </w:rPr>
        <w:t>”); and no action, suit or proceeding by or before any Governmental Entity involving the Company with respect to Money Laundering Laws is pending or, to the knowledge of the Company, threatened.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2.24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Any certificate signed by any duly authorized officer of the Company and delivered to the Representative or to counsel to the Underwriters on the Closing Date or on the Option Closing Date shall be deemed a representation and warranty by the Company to the Underwriters as to the matters covered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2.25.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 xml:space="preserve">Schedule 4 </w:t>
      </w:r>
      <w:r>
        <w:rPr>
          <w:rFonts w:ascii="Times New Roman;Times;Serif" w:hAnsi="Times New Roman;Times;Serif"/>
          <w:b w:val="false"/>
          <w:i w:val="false"/>
          <w:caps w:val="false"/>
          <w:smallCaps w:val="false"/>
          <w:sz w:val="20"/>
        </w:rPr>
        <w:t>hereto contains a complete and accurate list of the Company’s officers, directors and each owner of the Company’s outstanding Ordinary Shares (or securities convertible, exchangeable or exercisable into Ordinary Shares), with certain exceptions as provided under Section 3.18.2.hereof (collectively, the “</w:t>
      </w:r>
      <w:r>
        <w:rPr>
          <w:rFonts w:ascii="Times New Roman;Times;Serif" w:hAnsi="Times New Roman;Times;Serif"/>
          <w:b/>
          <w:i w:val="false"/>
          <w:caps w:val="false"/>
          <w:smallCaps w:val="false"/>
          <w:sz w:val="20"/>
        </w:rPr>
        <w:t>Lock-Up Parties</w:t>
      </w:r>
      <w:r>
        <w:rPr>
          <w:rFonts w:ascii="Times New Roman;Times;Serif" w:hAnsi="Times New Roman;Times;Serif"/>
          <w:b w:val="false"/>
          <w:i w:val="false"/>
          <w:caps w:val="false"/>
          <w:smallCaps w:val="false"/>
          <w:sz w:val="20"/>
        </w:rPr>
        <w:t xml:space="preserve">”). The Company has caused each of the Lock-Up Parties to deliver to the Representative an executed Lock-Up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the “</w:t>
      </w:r>
      <w:r>
        <w:rPr>
          <w:rFonts w:ascii="Times New Roman;Times;Serif" w:hAnsi="Times New Roman;Times;Serif"/>
          <w:b/>
          <w:i w:val="false"/>
          <w:caps w:val="false"/>
          <w:smallCaps w:val="false"/>
          <w:sz w:val="20"/>
        </w:rPr>
        <w:t>Lock-Up Agreement</w:t>
      </w:r>
      <w:r>
        <w:rPr>
          <w:rFonts w:ascii="Times New Roman;Times;Serif" w:hAnsi="Times New Roman;Times;Serif"/>
          <w:b w:val="false"/>
          <w:i w:val="false"/>
          <w:caps w:val="false"/>
          <w:smallCaps w:val="false"/>
          <w:sz w:val="20"/>
        </w:rPr>
        <w:t>”), prior to the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2.26.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Each of the Company’s direct and indirect Subsidiaries has been identified on </w:t>
      </w:r>
      <w:r>
        <w:rPr>
          <w:rFonts w:ascii="Times New Roman;Times;Serif" w:hAnsi="Times New Roman;Times;Serif"/>
          <w:b w:val="false"/>
          <w:i w:val="false"/>
          <w:caps w:val="false"/>
          <w:smallCaps w:val="false"/>
          <w:sz w:val="20"/>
          <w:u w:val="single"/>
        </w:rPr>
        <w:t>Schedule 6</w:t>
      </w:r>
      <w:r>
        <w:rPr>
          <w:rFonts w:ascii="Times New Roman;Times;Serif" w:hAnsi="Times New Roman;Times;Serif"/>
          <w:b w:val="false"/>
          <w:i w:val="false"/>
          <w:caps w:val="false"/>
          <w:smallCaps w:val="false"/>
          <w:sz w:val="20"/>
        </w:rPr>
        <w:t xml:space="preserve"> hereto. Each of the direct and indirect Subsidiaries of the Company is duly organized or incorporated as applicable and in good standing under the laws of its place of organization or incorporation, and each such Subsidiary is in good standing in each jurisdiction in which its ownership or lease of property or the conduct of business requires such qualification, except where the failure to qualify would not have a Material Adverse Change on the assets, business or operations of the Company and its Subsidiaries taken as a whole. The Company’s ownership and control of each Subsidiary is as described in the Registration Statement,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2.27.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There are no business relationships or related party transactions involving the Company or any other person required to be described in the Registration Statement, the Pricing Disclosure Package and the Prospectus that have not been described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2.28. </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The Board of Directors of the Company is comprised of the persons set forth under the heading of the Pricing Prospectus and the Prospectus captioned “Management.” The qualifications of the persons serving as board members and the overall composition of the board comply with the Exchange Act, the Exchange Act Regulations, the Sarbanes-Oxley Act of 2002 and the rules promulgated thereunder (the “</w:t>
      </w:r>
      <w:r>
        <w:rPr>
          <w:rFonts w:ascii="Times New Roman;Times;Serif" w:hAnsi="Times New Roman;Times;Serif"/>
          <w:b/>
          <w:i w:val="false"/>
          <w:caps w:val="false"/>
          <w:smallCaps w:val="false"/>
          <w:sz w:val="20"/>
        </w:rPr>
        <w:t>Sarbanes-Oxley Act</w:t>
      </w:r>
      <w:r>
        <w:rPr>
          <w:rFonts w:ascii="Times New Roman;Times;Serif" w:hAnsi="Times New Roman;Times;Serif"/>
          <w:b w:val="false"/>
          <w:i w:val="false"/>
          <w:caps w:val="false"/>
          <w:smallCaps w:val="false"/>
          <w:sz w:val="20"/>
        </w:rPr>
        <w: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2.29. </w:t>
      </w:r>
      <w:r>
        <w:rPr>
          <w:rFonts w:ascii="Times New Roman;Times;Serif" w:hAnsi="Times New Roman;Times;Serif"/>
          <w:b w:val="false"/>
          <w:i w:val="false"/>
          <w:caps w:val="false"/>
          <w:smallCaps w:val="false"/>
          <w:sz w:val="20"/>
          <w:u w:val="single"/>
        </w:rPr>
        <w:t>Sarbanes-Oxley Compliance</w:t>
      </w:r>
      <w:r>
        <w:rPr>
          <w:rFonts w:ascii="Times New Roman;Times;Serif" w:hAnsi="Times New Roman;Times;Serif"/>
          <w:b w:val="false"/>
          <w:i w:val="false"/>
          <w:caps w:val="false"/>
          <w:smallCaps w:val="false"/>
          <w:sz w:val="20"/>
        </w:rPr>
        <w:t>. The Company is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and the Option Closing Date.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2.29.1.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2.29.2.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2.30. </w:t>
      </w:r>
      <w:r>
        <w:rPr>
          <w:rFonts w:ascii="Times New Roman;Times;Serif" w:hAnsi="Times New Roman;Times;Serif"/>
          <w:b w:val="false"/>
          <w:i w:val="false"/>
          <w:caps w:val="false"/>
          <w:smallCaps w:val="false"/>
          <w:sz w:val="20"/>
          <w:u w:val="single"/>
        </w:rPr>
        <w:t>Accountin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Controls</w:t>
      </w:r>
      <w:r>
        <w:rPr>
          <w:rFonts w:ascii="Times New Roman;Times;Serif" w:hAnsi="Times New Roman;Times;Serif"/>
          <w:b w:val="false"/>
          <w:i w:val="false"/>
          <w:caps w:val="false"/>
          <w:smallCaps w:val="false"/>
          <w:sz w:val="20"/>
        </w:rPr>
        <w:t>. The Company and its Subsidiaries will maintain systems of “internal control over financial reporting” (as defined under Rules 13a-15 and 15d-15 under the Exchange Act Regulations) that will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IFRS. Except as disclosed in the Registration Statement, the Pricing Disclosure Package and the Prospectus, the Company is not aware of any material weaknesses in its internal controls. The Auditor and the Board of Directors, as constituted prior to Registration Statement being declared effective by the Commission, of the Company have been advised 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all significant deficiencies and material weaknesses in the design or operation of internal controls over financial reporting which are known to the Company’s management and that have adversely affected or are reasonably likely to adversely affect the Company’s ability to record, process, summarize and report financial information; and</w:t>
      </w:r>
    </w:p>
    <w:p>
      <w:pPr>
        <w:pStyle w:val="TextBody"/>
        <w:bidi w:val="0"/>
        <w:spacing w:before="0" w:after="0"/>
        <w:ind w:left="64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fraud known to the Company’s management, whether or not material, that involves management or other employees who have a significant role in the Company’s internal controls over financial reporting.</w:t>
      </w:r>
    </w:p>
    <w:p>
      <w:pPr>
        <w:pStyle w:val="TextBody"/>
        <w:bidi w:val="0"/>
        <w:spacing w:before="0" w:after="0"/>
        <w:ind w:left="64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2.31. </w:t>
      </w:r>
      <w:r>
        <w:rPr>
          <w:rFonts w:ascii="Times New Roman;Times;Serif" w:hAnsi="Times New Roman;Times;Serif"/>
          <w:b w:val="false"/>
          <w:i w:val="false"/>
          <w:caps w:val="false"/>
          <w:smallCaps w:val="false"/>
          <w:sz w:val="20"/>
          <w:u w:val="single"/>
        </w:rPr>
        <w:t>No Investment Company Status</w:t>
      </w:r>
      <w:r>
        <w:rPr>
          <w:rFonts w:ascii="Times New Roman;Times;Serif" w:hAnsi="Times New Roman;Times;Serif"/>
          <w:b w:val="false"/>
          <w:i w:val="false"/>
          <w:caps w:val="false"/>
          <w:smallCaps w:val="false"/>
          <w:sz w:val="20"/>
        </w:rPr>
        <w:t>. The Company is not and, after giving effect to the Offering and the application of the net proceeds thereof as described in the Registration Statement, the Pricing Disclosure Package and the Prospectus, will not be, required to register as an “investment company,” as defined in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2.32.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val="false"/>
          <w:caps w:val="false"/>
          <w:smallCaps w:val="false"/>
          <w:sz w:val="20"/>
        </w:rPr>
        <w:t>. No labor dispute with the employees of the Company or any of its Subsidiaries exists or, to the knowledge of the Company, is threatened. The Company is not aware that any key employee or significant group of employees of the Company plans to terminate employment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2.33.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and each of its Subsidiaries owns or possesses or has valid rights to use all patents, patent applications, trademarks, service marks, trade names, trademark registrations, service mark registrations, copyrights, licenses, inventions, trade secrets and similar rights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described in the Registration Statement, the Pricing Disclosure Package and the Prospectus and necessary for the conduct of the business of the Company and each of its Subsidiaries as currently carried on and as described in the Registration Statement, the Pricing Disclosure Package and the Prospectus. To the knowledge of the Company and except as may be disclosed in the Registration Statement, the Pricing Disclosure Package and the Prospectus,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(B) 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Section 2.33, reasonably be expected to result in a Material Adverse Change; (D)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referred to in this Section 2.33, reasonably be expected to result in a Material Adverse Change; and (E)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To the knowledge of the Company, none of the technology employed by the Company has been obtained or is knowingly being used by the Company in violation of any contractual obligation binding on the Company or, to the Company’s knowledge, any of its officers, directors or employees, or otherwise in violation of the rights of any persons.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2.34.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Change, each of the Company and its Subsidiaries has: (i) filed all returns (as hereinafter defined) required to be filed with taxing authorities prior to the date hereof or has duly obtained extensions of time for the filing thereof; and (ii) paid all taxes (as hereinafter defined) shown as due on such returns that were filed and has paid all taxes imposed on or assessed against the Company or any of its Subsidiaries.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the Registration Statement and the Prospectus,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There are no tax liens against the assets, properties or business of the Company or its Subsidiaries other than liens for taxes not yet delinquent or being contested in good faith by appropriate proceedings and for which reserves in accordance with IFRS have been established in the Company’s books and records. The term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Times;Serif" w:hAnsi="Times New Roman;Times;Serif"/>
          <w:b/>
          <w:i w:val="false"/>
          <w:caps w:val="false"/>
          <w:smallCaps w:val="false"/>
          <w:sz w:val="20"/>
        </w:rPr>
        <w:t>returns</w:t>
      </w:r>
      <w:r>
        <w:rPr>
          <w:rFonts w:ascii="Times New Roman;Times;Serif" w:hAnsi="Times New Roman;Times;Serif"/>
          <w:b w:val="false"/>
          <w:i w:val="false"/>
          <w:caps w:val="false"/>
          <w:smallCaps w:val="false"/>
          <w:sz w:val="20"/>
        </w:rPr>
        <w:t>” means all returns, declarations, reports, statements and other documents required to be filed in respect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r>
        <w:rPr>
          <w:rFonts w:ascii="Times New Roman;Times;Serif" w:hAnsi="Times New Roman;Times;Serif"/>
          <w:b w:val="false"/>
          <w:i w:val="false"/>
          <w:caps w:val="false"/>
          <w:smallCaps w:val="false"/>
          <w:sz w:val="20"/>
          <w:u w:val="single"/>
        </w:rPr>
        <w:t>ERISA Compliance</w:t>
      </w:r>
      <w:r>
        <w:rPr>
          <w:rFonts w:ascii="Times New Roman;Times;Serif" w:hAnsi="Times New Roman;Times;Serif"/>
          <w:b w:val="false"/>
          <w:i w:val="false"/>
          <w:caps w:val="false"/>
          <w:smallCaps w:val="false"/>
          <w:sz w:val="20"/>
        </w:rPr>
        <w:t>. The Company is not incorporated in the United States, has no U.S. employees and is not subject to the Employee Retirement Income Security Act of 1974, as amended, and the regulations and published interpretations thereunder (collectively, “</w:t>
      </w:r>
      <w:r>
        <w:rPr>
          <w:rFonts w:ascii="Times New Roman;Times;Serif" w:hAnsi="Times New Roman;Times;Serif"/>
          <w:b/>
          <w:i w:val="false"/>
          <w:caps w:val="false"/>
          <w:smallCaps w:val="false"/>
          <w:sz w:val="20"/>
        </w:rPr>
        <w:t>ERISA</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2.36.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the Company and each Subsidiary: (A) is and at all times has been in compliance with all statutes, rules, or regulations applicable to the business of the Company as currently conducted, including but not limited to environmental protection, employment and labor matters, exploration, mining and related activities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except as could not, individually or in the aggregate, reasonably be expected to have a Material Adverse Change; (B) has not received any warning letter or other correspondence or notice from any Governmental Entity alleging or asserting noncompliance with any Applicable Laws or any Authorizations; (C) possesses all material Authorizations and such Authorizations are valid and in full force and effect and are not in material violation of any term of any such Authorizations; (D) has not received notice of any claim, action, suit, proceeding, hearing, enforcement, investigation, arbitration or other action from any Governmental Entity or third party alleging that any activity conducted by the Company is in violation of any Applicable Laws or Authorizations and has no knowledge that any such Governmental Entity or third party is considering any such claim, litigation, arbitration, action, suit, investigation or proceeding; (E) has not received notice that any Governmental Entity has taken, is taking or intends to take action to limit, suspend, modify or revoke any Authorizations and has no knowledge that any such Governmental Entity is considering such action; and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2.37. </w:t>
      </w:r>
      <w:r>
        <w:rPr>
          <w:rFonts w:ascii="Times New Roman;Times;Serif" w:hAnsi="Times New Roman;Times;Serif"/>
          <w:b w:val="false"/>
          <w:i w:val="false"/>
          <w:caps w:val="false"/>
          <w:smallCaps w:val="false"/>
          <w:sz w:val="20"/>
          <w:u w:val="single"/>
        </w:rPr>
        <w:t>Emerging Growth Company</w:t>
      </w:r>
      <w:r>
        <w:rPr>
          <w:rFonts w:ascii="Times New Roman;Times;Serif" w:hAnsi="Times New Roman;Times;Serif"/>
          <w:b w:val="false"/>
          <w:i w:val="false"/>
          <w:caps w:val="false"/>
          <w:smallCaps w:val="false"/>
          <w:sz w:val="20"/>
        </w:rPr>
        <w:t>. From the time of the initial submission of the Registration Statement to the Commission (or, if earlier, the first date on which the Company engaged directly in or through any person authorized to act on its behalf in any Testing-the-Waters Communication) through the date hereof, the Company has been and is an “emerging growth company,” as defined in Section 2(a) of the Securities Act (an “</w:t>
      </w:r>
      <w:r>
        <w:rPr>
          <w:rFonts w:ascii="Times New Roman;Times;Serif" w:hAnsi="Times New Roman;Times;Serif"/>
          <w:b/>
          <w:i w:val="false"/>
          <w:caps w:val="false"/>
          <w:smallCaps w:val="false"/>
          <w:sz w:val="20"/>
        </w:rPr>
        <w:t>Emerging Growth Company</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Testing-the-Waters Communication</w:t>
      </w:r>
      <w:r>
        <w:rPr>
          <w:rFonts w:ascii="Times New Roman;Times;Serif" w:hAnsi="Times New Roman;Times;Serif"/>
          <w:b w:val="false"/>
          <w:i w:val="false"/>
          <w:caps w:val="false"/>
          <w:smallCaps w:val="false"/>
          <w:sz w:val="20"/>
        </w:rPr>
        <w:t>” means any oral or written communication with potential investors undertaken in reliance on Section 5(d) of the Securities Act. The Company has not (i) alone engaged in any Testing-the-Waters Communications, other than Testing-the-Waters Communications with the written consent of the Representative and with entities that are qualified institutional buyers within the meaning of Rule 144A under the Securities Act or institutions that are accredited investors within the meaning of Rule 501 under the Securities Act and (ii) authorized anyone other than the Representative to engage in Testing-the-Waters Communications. The Company confirms that the Representative has been authorized to act on its behalf in undertaking Testing-the-Waters Communications.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2.38.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Except as disclosed in the Registration Statement and the Prospectus, as of the date hereof, the Company and its Subsidiaries are in compliance with all material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i w:val="false"/>
          <w:caps w:val="false"/>
          <w:smallCaps w:val="false"/>
          <w:sz w:val="20"/>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(ii) has received all permits licenses or other approvals required of them under applicable Environmental Laws for their respective businesses; and (iii) is in compliance with all terms and conditions of any such permit, license or approval where in each clause (i), (ii) and (iii), the failure to so comply could be reasonably expected to have, individually or in the aggregate,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2.39. </w:t>
      </w:r>
      <w:r>
        <w:rPr>
          <w:rFonts w:ascii="Times New Roman;Times;Serif" w:hAnsi="Times New Roman;Times;Serif"/>
          <w:b w:val="false"/>
          <w:i w:val="false"/>
          <w:caps w:val="false"/>
          <w:smallCaps w:val="false"/>
          <w:sz w:val="20"/>
          <w:u w:val="single"/>
        </w:rPr>
        <w:t>Title to Property</w:t>
      </w:r>
      <w:r>
        <w:rPr>
          <w:rFonts w:ascii="Times New Roman;Times;Serif" w:hAnsi="Times New Roman;Times;Serif"/>
          <w:b w:val="false"/>
          <w:i w:val="false"/>
          <w:caps w:val="false"/>
          <w:smallCaps w:val="false"/>
          <w:sz w:val="20"/>
        </w:rPr>
        <w:t>. The Company has good and marketable title in fee simple to all real property owned by them and good and marketable title in all personal property owned by them that is material to the business of the Company, in each case free and clear of all liens, including all the real property, personal property and other assets, including all interests in mining claims, mining leases, concessions, exploitation or extraction rights, or other property interests or rights or similar rights (“</w:t>
      </w:r>
      <w:r>
        <w:rPr>
          <w:rFonts w:ascii="Times New Roman;Times;Serif" w:hAnsi="Times New Roman;Times;Serif"/>
          <w:b/>
          <w:i w:val="false"/>
          <w:caps w:val="false"/>
          <w:smallCaps w:val="false"/>
          <w:sz w:val="20"/>
        </w:rPr>
        <w:t>Mining Claims</w:t>
      </w:r>
      <w:r>
        <w:rPr>
          <w:rFonts w:ascii="Times New Roman;Times;Serif" w:hAnsi="Times New Roman;Times;Serif"/>
          <w:b w:val="false"/>
          <w:i w:val="false"/>
          <w:caps w:val="false"/>
          <w:smallCaps w:val="false"/>
          <w:sz w:val="20"/>
        </w:rPr>
        <w:t>”) that are material to the respective businesses of the Company and the Subsidiaries as currently conducted, except for (i) liens as do not materially affect the value of such property and do not materially interfere with the use made and proposed to be made of such property by the Company and (ii) liens for the payment of federal, state or other taxes, for which appropriate reserves have been made therefor in accordance with IFRS and, the payment of which is neither delinquent nor subject to penalties. Any real property and facilities held under lease by the Company is held by them under valid, subsisting and enforceable leases with which the Company is in compliance in all material respects. All material Mining Claims in which the Company or any of the Subsidiaries has an interest or right are valid, subsisting and enforceable. Except as otherwise disclosed in the Registration Statement and Prospectuses, there are no expropriations or similar proceedings or any challenges to title or ownership of which the Company or the Subsidiaries have received notice against the Mining Claims or any part thereof and, to the knowledge of the Company, no such expropriations, proceedings or challenges are contemplated. Neither the Company nor any of its Subsidiaries has any obligation to pay any royalty that is material to the Company and its Subsidiaries as a whole in respect of any Mining Claims except as disclosed in the Registration Statement, Pricing Disclosure Package and the Prospectus. Except as disclosed in the Registration Statement, Pricing Disclosure Package and the Prospectus, there are no restrictions on the ability of the Company and the Subsidiaries to use, transfer or otherwise exploit any such Mining Claims except as required by applicable law or security instruments, except where such restrictions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2.40. </w:t>
      </w:r>
      <w:r>
        <w:rPr>
          <w:rFonts w:ascii="Times New Roman;Times;Serif" w:hAnsi="Times New Roman;Times;Serif"/>
          <w:b w:val="false"/>
          <w:i w:val="false"/>
          <w:caps w:val="false"/>
          <w:smallCaps w:val="false"/>
          <w:sz w:val="20"/>
          <w:u w:val="single"/>
        </w:rPr>
        <w:t>Contracts Affectin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Capital</w:t>
      </w:r>
      <w:r>
        <w:rPr>
          <w:rFonts w:ascii="Times New Roman;Times;Serif" w:hAnsi="Times New Roman;Times;Serif"/>
          <w:b w:val="false"/>
          <w:i w:val="false"/>
          <w:caps w:val="false"/>
          <w:smallCaps w:val="false"/>
          <w:sz w:val="20"/>
        </w:rPr>
        <w:t>. There are no transactions, arrangements or other relationships between and/or among the Company, any of its affiliates (as such term is defined in Rule 405 under the Securities Act)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w:t>
      </w:r>
      <w:r>
        <w:rPr>
          <w:rFonts w:ascii="Times New Roman;Times;Serif" w:hAnsi="Times New Roman;Times;Serif"/>
          <w:b w:val="false"/>
          <w:i w:val="false"/>
          <w:caps w:val="false"/>
          <w:smallCaps w:val="false"/>
          <w:sz w:val="20"/>
          <w:u w:val="single"/>
        </w:rPr>
        <w:t>Loans to Directors or Officers</w:t>
      </w:r>
      <w:r>
        <w:rPr>
          <w:rFonts w:ascii="Times New Roman;Times;Serif" w:hAnsi="Times New Roman;Times;Serif"/>
          <w:b w:val="false"/>
          <w:i w:val="false"/>
          <w:caps w:val="false"/>
          <w:smallCaps w:val="false"/>
          <w:sz w:val="20"/>
        </w:rPr>
        <w:t>. There are no outstanding loans, advances (except normal advances for business expenses in the ordinary course 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all Subsidiaries possess all certificates, authorizations and permits issued by the appropriate federal, state, local or foreign regulatory authorities necessary to conduct their respective businesses as described in the Registration Statement, Pricing Disclosure Package and the Prospectus, except where the failure to possess such permits could not reasonably be expected to result in a Material Adverse Effect (“Material Permits”), and the Company (or the applicable Subsidiary) has not received any notice of proceedings relating to the revocation or modification of any Material Permit.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2.44. </w:t>
      </w:r>
      <w:r>
        <w:rPr>
          <w:rFonts w:ascii="Times New Roman;Times;Serif" w:hAnsi="Times New Roman;Times;Serif"/>
          <w:b w:val="false"/>
          <w:i w:val="false"/>
          <w:caps w:val="false"/>
          <w:smallCaps w:val="false"/>
          <w:sz w:val="20"/>
          <w:u w:val="single"/>
        </w:rPr>
        <w:t>Industry Data</w:t>
      </w:r>
      <w:r>
        <w:rPr>
          <w:rFonts w:ascii="Times New Roman;Times;Serif" w:hAnsi="Times New Roman;Times;Serif"/>
          <w:b w:val="false"/>
          <w:i w:val="false"/>
          <w:caps w:val="false"/>
          <w:smallCaps w:val="false"/>
          <w:sz w:val="20"/>
        </w:rPr>
        <w:t>. The statistical and market-related data included in each of the Registration Statement, the Pricing Disclosure Package and the Prospectus are based on or derived from sources that the Company reasonably and in good faith believes are reliable and accurate or represent the Company’s good faith estimates that are made on the basis of data derived from such 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w:t>
      </w:r>
      <w:r>
        <w:rPr>
          <w:rFonts w:ascii="Times New Roman;Times;Serif" w:hAnsi="Times New Roman;Times;Serif"/>
          <w:b w:val="false"/>
          <w:i w:val="false"/>
          <w:caps w:val="false"/>
          <w:smallCaps w:val="false"/>
          <w:sz w:val="20"/>
          <w:u w:val="single"/>
        </w:rPr>
        <w:t>Electronic Road Show</w:t>
      </w:r>
      <w:r>
        <w:rPr>
          <w:rFonts w:ascii="Times New Roman;Times;Serif" w:hAnsi="Times New Roman;Times;Serif"/>
          <w:b w:val="false"/>
          <w:i w:val="false"/>
          <w:caps w:val="false"/>
          <w:smallCaps w:val="false"/>
          <w:sz w:val="20"/>
        </w:rPr>
        <w:t>. If the Company makes available a Bona Fide Electronic Road Show, it shall be in compliance with Rule 433(d)(8)(ii) of the Securities Act Regulations such that no filing of any “road show” (as defined in Rule 433(h) of the Securities Act Regulations) is required in connection with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2.46. </w:t>
      </w:r>
      <w:r>
        <w:rPr>
          <w:rFonts w:ascii="Times New Roman;Times;Serif" w:hAnsi="Times New Roman;Times;Serif"/>
          <w:b w:val="false"/>
          <w:i w:val="false"/>
          <w:caps w:val="false"/>
          <w:smallCaps w:val="false"/>
          <w:sz w:val="20"/>
          <w:u w:val="single"/>
        </w:rPr>
        <w:t>Margin Securities</w:t>
      </w:r>
      <w:r>
        <w:rPr>
          <w:rFonts w:ascii="Times New Roman;Times;Serif" w:hAnsi="Times New Roman;Times;Serif"/>
          <w:b w:val="false"/>
          <w:i w:val="false"/>
          <w:caps w:val="false"/>
          <w:smallCaps w:val="false"/>
          <w:sz w:val="20"/>
        </w:rPr>
        <w:t>. The Company owns no “margin securities” as that term is defined in Regulation U of the Board of Governors of the Federal Reserve System (the “</w:t>
      </w:r>
      <w:r>
        <w:rPr>
          <w:rFonts w:ascii="Times New Roman;Times;Serif" w:hAnsi="Times New Roman;Times;Serif"/>
          <w:b/>
          <w:i w:val="false"/>
          <w:caps w:val="false"/>
          <w:smallCaps w:val="false"/>
          <w:sz w:val="20"/>
        </w:rPr>
        <w:t>Federal Reserve Board</w:t>
      </w:r>
      <w:r>
        <w:rPr>
          <w:rFonts w:ascii="Times New Roman;Times;Serif" w:hAnsi="Times New Roman;Times;Serif"/>
          <w:b w:val="false"/>
          <w:i w:val="false"/>
          <w:caps w:val="false"/>
          <w:smallCaps w:val="false"/>
          <w:sz w:val="20"/>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Ordinary Shares to be considered a “purpose credit” within the meanings of Regulation T, U or X of the Federal Reserve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2.47.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 Except as disclosed in the Pricing Disclosure Package, Registration Statement and the Prospectus, no Subsidiary 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2.48. </w:t>
      </w:r>
      <w:r>
        <w:rPr>
          <w:rFonts w:ascii="Times New Roman;Times;Serif" w:hAnsi="Times New Roman;Times;Serif"/>
          <w:b w:val="false"/>
          <w:i w:val="false"/>
          <w:caps w:val="false"/>
          <w:smallCaps w:val="false"/>
          <w:sz w:val="20"/>
          <w:u w:val="single"/>
        </w:rPr>
        <w:t>Forward-Lookin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the Pricing Disclosure Package or the Prospectus has been made or reaffirmed without a reasonable basis or has been disclosed other than in good faith.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2.49. </w:t>
      </w:r>
      <w:r>
        <w:rPr>
          <w:rFonts w:ascii="Times New Roman;Times;Serif" w:hAnsi="Times New Roman;Times;Serif"/>
          <w:b w:val="false"/>
          <w:i w:val="false"/>
          <w:caps w:val="false"/>
          <w:smallCaps w:val="false"/>
          <w:sz w:val="20"/>
          <w:u w:val="single"/>
        </w:rPr>
        <w:t>Inte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ration</w:t>
      </w:r>
      <w:r>
        <w:rPr>
          <w:rFonts w:ascii="Times New Roman;Times;Serif" w:hAnsi="Times New Roman;Times;Serif"/>
          <w:b w:val="false"/>
          <w:i w:val="false"/>
          <w:caps w:val="false"/>
          <w:smallCaps w:val="false"/>
          <w:sz w:val="20"/>
        </w:rPr>
        <w:t>. Neither the Company nor any of its affiliates, nor any person acting on its or their behalf has, directly or indirectly, made any offers or sales of any security or solicited any offers to buy any security, under circumstances that would cause the Offering to be integrated with prior offerings by the Company for purposes of the Securities Act that would require the registration of any such securities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2.50. </w:t>
      </w:r>
      <w:r>
        <w:rPr>
          <w:rFonts w:ascii="Times New Roman;Times;Serif" w:hAnsi="Times New Roman;Times;Serif"/>
          <w:b w:val="false"/>
          <w:i w:val="false"/>
          <w:caps w:val="false"/>
          <w:smallCaps w:val="false"/>
          <w:sz w:val="20"/>
          <w:u w:val="single"/>
        </w:rPr>
        <w:t>Confidentiality and Non-Competition</w:t>
      </w:r>
      <w:r>
        <w:rPr>
          <w:rFonts w:ascii="Times New Roman;Times;Serif" w:hAnsi="Times New Roman;Times;Serif"/>
          <w:b w:val="false"/>
          <w:i w:val="false"/>
          <w:caps w:val="false"/>
          <w:smallCaps w:val="false"/>
          <w:sz w:val="20"/>
        </w:rPr>
        <w:t>. To the Company’s knowledge, no director, officer, key employee or consultant of the Company or any Subsidiary is subject to any confidentiality, non-disclosure, non-competition agreement or non-solicitation agreement with any employer (other than the Company) or prior employer that could materially affect his or her ability to be and act in his or her respective capacity of the Company or such Subsidiary or reasonably be expected to result in a Material Adverse Change.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2.51. </w:t>
      </w:r>
      <w:r>
        <w:rPr>
          <w:rFonts w:ascii="Times New Roman;Times;Serif" w:hAnsi="Times New Roman;Times;Serif"/>
          <w:b w:val="false"/>
          <w:i w:val="false"/>
          <w:caps w:val="false"/>
          <w:smallCaps w:val="false"/>
          <w:sz w:val="20"/>
          <w:u w:val="single"/>
        </w:rPr>
        <w:t>Corporate Records</w:t>
      </w:r>
      <w:r>
        <w:rPr>
          <w:rFonts w:ascii="Times New Roman;Times;Serif" w:hAnsi="Times New Roman;Times;Serif"/>
          <w:b w:val="false"/>
          <w:i w:val="false"/>
          <w:caps w:val="false"/>
          <w:smallCaps w:val="false"/>
          <w:sz w:val="20"/>
        </w:rPr>
        <w:t>. The minute books of the Company have been made available to the Representative and counsel to the Underwriters and such books (i) contain minutes of all material meetings and actions of the Board of Directors (including each board committee) and shareholders of the Company, and (ii) reflect all material transactions referred to in such minutes.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2.52. </w:t>
      </w:r>
      <w:r>
        <w:rPr>
          <w:rFonts w:ascii="Times New Roman;Times;Serif" w:hAnsi="Times New Roman;Times;Serif"/>
          <w:b w:val="false"/>
          <w:i w:val="false"/>
          <w:caps w:val="false"/>
          <w:smallCaps w:val="false"/>
          <w:sz w:val="20"/>
          <w:u w:val="single"/>
        </w:rPr>
        <w:t>Dil</w:t>
      </w:r>
      <w:r>
        <w:rPr>
          <w:rFonts w:ascii="Times New Roman;Times;Serif" w:hAnsi="Times New Roman;Times;Serif"/>
          <w:b w:val="false"/>
          <w:i w:val="false"/>
          <w:caps w:val="false"/>
          <w:smallCaps w:val="false"/>
          <w:sz w:val="20"/>
        </w:rPr>
        <w:t>ig</w:t>
      </w:r>
      <w:r>
        <w:rPr>
          <w:rFonts w:ascii="Times New Roman;Times;Serif" w:hAnsi="Times New Roman;Times;Serif"/>
          <w:b w:val="false"/>
          <w:i w:val="false"/>
          <w:caps w:val="false"/>
          <w:smallCaps w:val="false"/>
          <w:sz w:val="20"/>
          <w:u w:val="single"/>
        </w:rPr>
        <w:t>ence Materials</w:t>
      </w:r>
      <w:r>
        <w:rPr>
          <w:rFonts w:ascii="Times New Roman;Times;Serif" w:hAnsi="Times New Roman;Times;Serif"/>
          <w:b w:val="false"/>
          <w:i w:val="false"/>
          <w:caps w:val="false"/>
          <w:smallCaps w:val="false"/>
          <w:sz w:val="20"/>
        </w:rPr>
        <w:t>. The Company has provided to the Representative and counsel to the Underwriters all materials required or necessary to respond in all material respects to the diligence request submitted to the Company or its counsel by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2.53. </w:t>
      </w:r>
      <w:r>
        <w:rPr>
          <w:rFonts w:ascii="Times New Roman;Times;Serif" w:hAnsi="Times New Roman;Times;Serif"/>
          <w:b w:val="false"/>
          <w:i w:val="false"/>
          <w:caps w:val="false"/>
          <w:smallCaps w:val="false"/>
          <w:sz w:val="20"/>
          <w:u w:val="single"/>
        </w:rPr>
        <w:t>Stabilization</w:t>
      </w:r>
      <w:r>
        <w:rPr>
          <w:rFonts w:ascii="Times New Roman;Times;Serif" w:hAnsi="Times New Roman;Times;Serif"/>
          <w:b w:val="false"/>
          <w:i w:val="false"/>
          <w:caps w:val="false"/>
          <w:smallCaps w:val="false"/>
          <w:sz w:val="20"/>
        </w:rPr>
        <w:t>. Neither the Company nor, to its knowledge, any of its employees, directors or shareholders (without the consent of the Representative) has taken, directly or 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Public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2.54. </w:t>
      </w:r>
      <w:r>
        <w:rPr>
          <w:rFonts w:ascii="Times New Roman;Times;Serif" w:hAnsi="Times New Roman;Times;Serif"/>
          <w:b w:val="false"/>
          <w:i w:val="false"/>
          <w:caps w:val="false"/>
          <w:smallCaps w:val="false"/>
          <w:sz w:val="20"/>
          <w:u w:val="single"/>
        </w:rPr>
        <w:t>No Immunity</w:t>
      </w:r>
      <w:r>
        <w:rPr>
          <w:rFonts w:ascii="Times New Roman;Times;Serif" w:hAnsi="Times New Roman;Times;Serif"/>
          <w:b w:val="false"/>
          <w:i w:val="false"/>
          <w:caps w:val="false"/>
          <w:smallCaps w:val="false"/>
          <w:sz w:val="20"/>
        </w:rPr>
        <w:t>. None of the Company, its Subsidiaries, or any of its or their properties or assets has any immunity from the jurisdiction of any court or from any legal process (whether through service or notice, attachment prior to judgment, attachment in aid of execution or otherwise) under the laws of the Cayman Islands, Hong Kong, the United Kingdom, the State of New York or United States federal law; and, to the extent that the Company, its subsidiaries, or any of their respective properties, assets or revenues may have or may hereafter become entitled to any such right of immunity in any such court in which proceedings may at any time be commenced, each of the Company and its subsidiaries waives or will waive such right to the extent permitted by law and has consented to such relief and enforcement under New York law as provided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2.55. </w:t>
      </w:r>
      <w:r>
        <w:rPr>
          <w:rFonts w:ascii="Times New Roman;Times;Serif" w:hAnsi="Times New Roman;Times;Serif"/>
          <w:b w:val="false"/>
          <w:i w:val="false"/>
          <w:caps w:val="false"/>
          <w:smallCaps w:val="false"/>
          <w:sz w:val="20"/>
          <w:u w:val="single"/>
        </w:rPr>
        <w:t>Not a PFIC</w:t>
      </w:r>
      <w:r>
        <w:rPr>
          <w:rFonts w:ascii="Times New Roman;Times;Serif" w:hAnsi="Times New Roman;Times;Serif"/>
          <w:b w:val="false"/>
          <w:i w:val="false"/>
          <w:caps w:val="false"/>
          <w:smallCaps w:val="false"/>
          <w:sz w:val="20"/>
        </w:rPr>
        <w:t>. Except as disclosed in the Registration Statement and the Prospectus, the Company does not expect that it will be treated as a Passive Foreign Investment Company (“</w:t>
      </w:r>
      <w:r>
        <w:rPr>
          <w:rFonts w:ascii="Times New Roman;Times;Serif" w:hAnsi="Times New Roman;Times;Serif"/>
          <w:b/>
          <w:i w:val="false"/>
          <w:caps w:val="false"/>
          <w:smallCaps w:val="false"/>
          <w:sz w:val="20"/>
        </w:rPr>
        <w:t>PFIC</w:t>
      </w:r>
      <w:r>
        <w:rPr>
          <w:rFonts w:ascii="Times New Roman;Times;Serif" w:hAnsi="Times New Roman;Times;Serif"/>
          <w:b w:val="false"/>
          <w:i w:val="false"/>
          <w:caps w:val="false"/>
          <w:smallCaps w:val="false"/>
          <w:sz w:val="20"/>
        </w:rPr>
        <w:t>”) within the meaning of Section 1297 of the United States Internal Revenue Code of 1986, as amended, for its current taxable year. The Company has no plan or intention to operate in such a manner that would reasonably be expected to result in the Company becoming a PFIC in future taxable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2.56. </w:t>
      </w:r>
      <w:r>
        <w:rPr>
          <w:rFonts w:ascii="Times New Roman;Times;Serif" w:hAnsi="Times New Roman;Times;Serif"/>
          <w:b w:val="false"/>
          <w:i w:val="false"/>
          <w:caps w:val="false"/>
          <w:smallCaps w:val="false"/>
          <w:sz w:val="20"/>
          <w:u w:val="single"/>
        </w:rPr>
        <w:t>Scheme or Arrangement with Shareholders</w:t>
      </w:r>
      <w:r>
        <w:rPr>
          <w:rFonts w:ascii="Times New Roman;Times;Serif" w:hAnsi="Times New Roman;Times;Serif"/>
          <w:b w:val="false"/>
          <w:i w:val="false"/>
          <w:caps w:val="false"/>
          <w:smallCaps w:val="false"/>
          <w:sz w:val="20"/>
        </w:rPr>
        <w:t>. Neither the Company nor any of its affiliate is a party to any scheme or arrangement through which shareholders or potential shareholders are being loaned, given or otherwise having money made available for the purchase of shares whether before, in or after the Offering. Neither the Company nor any of its affiliate is aware of any such scheme or arrangement, regardless of whether it is a party to a formal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2.57.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Except as set forth in the Registration Statement, none of the officers or directors of the Company and, to the knowledge of the Company, none of the employees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2.58. </w:t>
      </w:r>
      <w:r>
        <w:rPr>
          <w:rFonts w:ascii="Times New Roman;Times;Serif" w:hAnsi="Times New Roman;Times;Serif"/>
          <w:b w:val="false"/>
          <w:i w:val="false"/>
          <w:caps w:val="false"/>
          <w:smallCaps w:val="false"/>
          <w:sz w:val="20"/>
          <w:u w:val="single"/>
        </w:rPr>
        <w:t>Technical Matters</w:t>
      </w:r>
      <w:r>
        <w:rPr>
          <w:rFonts w:ascii="Times New Roman;Times;Serif" w:hAnsi="Times New Roman;Times;Serif"/>
          <w:b w:val="false"/>
          <w:i w:val="false"/>
          <w:caps w:val="false"/>
          <w:smallCaps w:val="false"/>
          <w:sz w:val="20"/>
        </w:rPr>
        <w:t>. All technical information, including the qualitative and quantitative data regarding mineral resources with respect to the Material Projects extracted from the Technical Reports, set forth in the Registration Statement, the Pricing Disclosure Package, the Prospectus and the free writing prospectuses, if any, has been reviewed by the Company and all such information has been prepared in accordance with Subpart 1300 by or under the supervision of a “qualified person”; the methods used in estimating the Company’s mineral resources are in accordance with accepted mineral resource estimation practices and the assumptions underlying such resource estimates are reasonable and appropriate; the Company has duly filed with the Commission the summary of the applicable technical reports required by Subpart 1300, as applicable,  which consists of the Technical Reports, and all such reports complied at the time thereof in all material respects with Subpart 1300 and Item 601(b)(96) of Regulation S-K and the requirements thereof.</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Covenants of the Company</w:t>
      </w:r>
      <w:r>
        <w:rPr>
          <w:rFonts w:ascii="Times New Roman;Times;Serif" w:hAnsi="Times New Roman;Times;Serif"/>
          <w:b w:val="false"/>
          <w:i w:val="false"/>
          <w:caps w:val="false"/>
          <w:smallCaps w:val="false"/>
          <w:sz w:val="20"/>
        </w:rPr>
        <w:t>. The Company covenants and agrees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Amendments to Registration Statement</w:t>
      </w:r>
      <w:r>
        <w:rPr>
          <w:rFonts w:ascii="Times New Roman;Times;Serif" w:hAnsi="Times New Roman;Times;Serif"/>
          <w:b w:val="false"/>
          <w:i w:val="false"/>
          <w:caps w:val="false"/>
          <w:smallCaps w:val="false"/>
          <w:sz w:val="20"/>
        </w:rPr>
        <w:t>. The Company shall deliver to the Representative, prior to filing, any amendment or supplement to the Registration Statement or Prospectus proposed to be filed after the Effective Date and not file any such amendment or supplement to which the Representative shall reasonably object in writing.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Federal Securities Laws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The Company, subject to Section 3.2.2, shall comply in all material respects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its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Public Securities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Public Securities. The Company shall effect all filings required under Rule 424(b) of the Securities Act Regulations, in the manner and within the time period required by Rule 424(b),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commercially reasonable efforts to prevent the issuance of any stop order, prevention or suspension and, if any such order is issued, to obtain the lifting thereof at the earliest possible moment.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Continued Compliance</w:t>
      </w:r>
      <w:r>
        <w:rPr>
          <w:rFonts w:ascii="Times New Roman;Times;Serif" w:hAnsi="Times New Roman;Times;Serif"/>
          <w:b w:val="false"/>
          <w:i w:val="false"/>
          <w:caps w:val="false"/>
          <w:smallCaps w:val="false"/>
          <w:sz w:val="20"/>
        </w:rPr>
        <w:t>. The Company shall comply in all material respects with the Securities Act, the Securities Act Regulations, the Exchange Act and the Exchange Act Regulations so as to permit the completion of the distribution of the Public Securities as contemplated in this Agreement and in the Registration Statement, the Pricing Disclosure Package and the Prospectus. If at any time when a prospectus relating to the Public Securities is (or, but for the exception afforded by Rule 172 of the Securities Act Regulations (“</w:t>
      </w:r>
      <w:r>
        <w:rPr>
          <w:rFonts w:ascii="Times New Roman;Times;Serif" w:hAnsi="Times New Roman;Times;Serif"/>
          <w:b/>
          <w:i w:val="false"/>
          <w:caps w:val="false"/>
          <w:smallCaps w:val="false"/>
          <w:sz w:val="20"/>
        </w:rPr>
        <w:t>Rule 172</w:t>
      </w:r>
      <w:r>
        <w:rPr>
          <w:rFonts w:ascii="Times New Roman;Times;Serif" w:hAnsi="Times New Roman;Times;Serif"/>
          <w:b w:val="false"/>
          <w:i w:val="false"/>
          <w:caps w:val="false"/>
          <w:smallCaps w:val="false"/>
          <w:sz w:val="20"/>
        </w:rPr>
        <w:t>”), would be) required by the Securities Act to be delivered in connection with sales of the Public Securities, any event shall occur or condition shall exist as a result of which it is necessary, in the opinion of counsel to the Company or to the underwriters;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amendment or supplement; and (C) file with the Commission any such amendment or supplement; provided that the Company shall not file or use any such amendment or supplement to which the Representative or counsel to the Underwriters shall reasonably object. The Company will furnish to the Underwriters such number of copies of such amendment or supplement as the Underwriters may reasonably request. The Company will give the Representative notice of any filings made pursuant to the Exchange Act or the Exchange Act Regulations within two (2) Business Days prior to the Applicable Time. The Company shall give the Representative notice of its intention to make any such filing from the Applicable Time until the later of the Closing Date and the exercise in full or expiration of the Over-Allotment Option specified in Section 1.2 hereof and will furnish the Representative with copies of the related document(s) a reasonable amount of time prior to such proposed filing, as the case may be, and will not file or use any such document to which the Representative or Representative Counsel shall reasonably object.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Act Registration</w:t>
      </w:r>
      <w:r>
        <w:rPr>
          <w:rFonts w:ascii="Times New Roman;Times;Serif" w:hAnsi="Times New Roman;Times;Serif"/>
          <w:b w:val="false"/>
          <w:i w:val="false"/>
          <w:caps w:val="false"/>
          <w:smallCaps w:val="false"/>
          <w:sz w:val="20"/>
        </w:rPr>
        <w:t>. The Company shall use its commercially reasonable efforts to maintain the registration of the Ordinary Shares under the Exchange Act (except in connection with a going-private transaction) for a period of one (1) year from the Effective Date, or until the Company is liquidated or is acquired, if earlier. For a period of one (1) year from the Effective Date, the Company shall not deregister any of the Ordinary Shares under the Exchange Act without the prior notice to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Free Writin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Prospectuses</w:t>
      </w:r>
      <w:r>
        <w:rPr>
          <w:rFonts w:ascii="Times New Roman;Times;Serif" w:hAnsi="Times New Roman;Times;Serif"/>
          <w:b w:val="false"/>
          <w:i w:val="false"/>
          <w:caps w:val="false"/>
          <w:smallCaps w:val="false"/>
          <w:sz w:val="20"/>
        </w:rPr>
        <w:t xml:space="preserve">. The Company agrees that, unless it obtains the prior written consent of the Representative, it shall not make any offer relating to the Public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 shall be deemed to have consented to each Issuer General Use Free Writing Prospectus set forth in </w:t>
      </w:r>
      <w:r>
        <w:rPr>
          <w:rFonts w:ascii="Times New Roman;Times;Serif" w:hAnsi="Times New Roman;Times;Serif"/>
          <w:b w:val="false"/>
          <w:i w:val="false"/>
          <w:caps w:val="false"/>
          <w:smallCaps w:val="false"/>
          <w:sz w:val="20"/>
          <w:u w:val="single"/>
        </w:rPr>
        <w:t>Schedule 3</w:t>
      </w:r>
      <w:r>
        <w:rPr>
          <w:rFonts w:ascii="Times New Roman;Times;Serif" w:hAnsi="Times New Roman;Times;Serif"/>
          <w:b w:val="false"/>
          <w:i w:val="false"/>
          <w:caps w:val="false"/>
          <w:smallCaps w:val="false"/>
          <w:sz w:val="20"/>
        </w:rPr>
        <w:t>. The Company represents that it has treated or agrees that it will treat each such free writing prospectus consented to, or deemed consented to, by the Representative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 and will promptly amend or supplement, at its own expense, such Issuer Free Writing Prospectus to eliminate or correct such conflict, untrue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3.2.5. </w:t>
      </w:r>
      <w:r>
        <w:rPr>
          <w:rFonts w:ascii="Times New Roman;Times;Serif" w:hAnsi="Times New Roman;Times;Serif"/>
          <w:b w:val="false"/>
          <w:i w:val="false"/>
          <w:caps w:val="false"/>
          <w:smallCaps w:val="false"/>
          <w:sz w:val="20"/>
          <w:u w:val="single"/>
        </w:rPr>
        <w:t>Testin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-the-Waters Communications</w:t>
      </w:r>
      <w:r>
        <w:rPr>
          <w:rFonts w:ascii="Times New Roman;Times;Serif" w:hAnsi="Times New Roman;Times;Serif"/>
          <w:b w:val="false"/>
          <w:i w:val="false"/>
          <w:caps w:val="false"/>
          <w:smallCaps w:val="false"/>
          <w:sz w:val="20"/>
        </w:rPr>
        <w:t>. If at any time following the distribution of any Testing-the-Waters Communication that is a written communication within the meaning of Rule 405 of the Securities Act Regulations (a “</w:t>
      </w:r>
      <w:r>
        <w:rPr>
          <w:rFonts w:ascii="Times New Roman;Times;Serif" w:hAnsi="Times New Roman;Times;Serif"/>
          <w:b/>
          <w:i w:val="false"/>
          <w:caps w:val="false"/>
          <w:smallCaps w:val="false"/>
          <w:sz w:val="20"/>
        </w:rPr>
        <w:t>Written Testing-the-Waters Communication</w:t>
      </w:r>
      <w:r>
        <w:rPr>
          <w:rFonts w:ascii="Times New Roman;Times;Serif" w:hAnsi="Times New Roman;Times;Serif"/>
          <w:b w:val="false"/>
          <w:i w:val="false"/>
          <w:caps w:val="false"/>
          <w:smallCaps w:val="false"/>
          <w:sz w:val="20"/>
        </w:rPr>
        <w:t>”) there occurred or occurs an event or development as a result of which such Written Testing- 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Representative and shall promptly amend or supplement, at its own expense, such Written Testing-the-Waters Communication to eliminate or correct such untrue statement or omission.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Delivery to the Underwriters of Registration Statements</w:t>
      </w:r>
      <w:r>
        <w:rPr>
          <w:rFonts w:ascii="Times New Roman;Times;Serif" w:hAnsi="Times New Roman;Times;Serif"/>
          <w:b w:val="false"/>
          <w:i w:val="false"/>
          <w:caps w:val="false"/>
          <w:smallCaps w:val="false"/>
          <w:sz w:val="20"/>
        </w:rPr>
        <w:t>. The Company has delivered or made available or shall deliver or make available to the Representative and counsel to the Underwriters, without charge, signed copies of the Registration Statement as originally filed and each amendment thereto (including exhibits filed therewith) and signed copies of all consents and certificates of experts, and will also deliver to each Underwriter, without charge, a conformed copy of the Registration Statement as originally filed and each amendment thereto (without exhibits) upon receipt of a written request therefor from such Underwriter. The copies of the Registration Statement and each amendment thereto furnished to the Underwriters will be identical to the electronically transmitted copies thereof filed with the Commission pursuant to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Delivery to the Underwriters of Prospectuses</w:t>
      </w:r>
      <w:r>
        <w:rPr>
          <w:rFonts w:ascii="Times New Roman;Times;Serif" w:hAnsi="Times New Roman;Times;Serif"/>
          <w:b w:val="false"/>
          <w:i w:val="false"/>
          <w:caps w:val="false"/>
          <w:smallCaps w:val="false"/>
          <w:sz w:val="20"/>
        </w:rPr>
        <w:t>. The Company has delivered or made available or will deliver or make available to each 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Public Securities is (or, but for the exception afforded by Rule 172 of the Securities Act Regulations,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3.6. </w:t>
      </w:r>
      <w:r>
        <w:rPr>
          <w:rFonts w:ascii="Times New Roman;Times;Serif" w:hAnsi="Times New Roman;Times;Serif"/>
          <w:b w:val="false"/>
          <w:i w:val="false"/>
          <w:caps w:val="false"/>
          <w:smallCaps w:val="false"/>
          <w:sz w:val="20"/>
          <w:u w:val="single"/>
        </w:rPr>
        <w:t>Review of Financial Statements</w:t>
      </w:r>
      <w:r>
        <w:rPr>
          <w:rFonts w:ascii="Times New Roman;Times;Serif" w:hAnsi="Times New Roman;Times;Serif"/>
          <w:b w:val="false"/>
          <w:i w:val="false"/>
          <w:caps w:val="false"/>
          <w:smallCaps w:val="false"/>
          <w:sz w:val="20"/>
        </w:rPr>
        <w:t>. For a period of one (1) year after the date of this Agreement, the Company, at its expense, shall cause its regularly engaged independent registered public accounting firm to review (but not audit) the Company’s financial statements for each of the three (3) fiscal quarters immediately preceding the announcement of any quarterly financial information, or if it provides announcements only of its semi-annual financial statement, then it shall cause its regularly engaged independent registered public accounting firm to review (but not audit) the Company’s financial statements for the non-year end semi- annual announcement immediately preceding the announcement of such financial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3.7. </w:t>
      </w:r>
      <w:r>
        <w:rPr>
          <w:rFonts w:ascii="Times New Roman;Times;Serif" w:hAnsi="Times New Roman;Times;Serif"/>
          <w:b w:val="false"/>
          <w:i w:val="false"/>
          <w:caps w:val="false"/>
          <w:smallCaps w:val="false"/>
          <w:sz w:val="20"/>
          <w:u w:val="single"/>
        </w:rPr>
        <w:t>Listin</w:t>
      </w:r>
      <w:r>
        <w:rPr>
          <w:rFonts w:ascii="Times New Roman;Times;Serif" w:hAnsi="Times New Roman;Times;Serif"/>
          <w:b w:val="false"/>
          <w:i w:val="false"/>
          <w:caps w:val="false"/>
          <w:smallCaps w:val="false"/>
          <w:sz w:val="20"/>
        </w:rPr>
        <w:t>g. The Company shall use its commercially reasonable efforts to maintain the listing of the Ordinary Shares (including the Firm Shares and the Option Shares) on the Exchange for at least one (1) year from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3.8. </w:t>
      </w:r>
      <w:r>
        <w:rPr>
          <w:rFonts w:ascii="Times New Roman;Times;Serif" w:hAnsi="Times New Roman;Times;Serif"/>
          <w:b w:val="false"/>
          <w:i w:val="false"/>
          <w:caps w:val="false"/>
          <w:smallCaps w:val="false"/>
          <w:sz w:val="20"/>
          <w:u w:val="single"/>
        </w:rPr>
        <w:t>PCAOB Firm</w:t>
      </w:r>
      <w:r>
        <w:rPr>
          <w:rFonts w:ascii="Times New Roman;Times;Serif" w:hAnsi="Times New Roman;Times;Serif"/>
          <w:b w:val="false"/>
          <w:i w:val="false"/>
          <w:caps w:val="false"/>
          <w:smallCaps w:val="false"/>
          <w:sz w:val="20"/>
        </w:rPr>
        <w:t>. As of the Effective Date, the Company shall have retained: (i) an independent PCAOB registered public accounting firm reasonably acceptable to the Representative, which will have responsibility for the review, audit and certification of the financial statements and the financial exhibits, which shall initially be UHY LLP, or another PCAOB accounting firm reasonably acceptable to the Representative, for at least three (3) year from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 </w:t>
      </w:r>
      <w:r>
        <w:rPr>
          <w:rFonts w:ascii="Times New Roman;Times;Serif" w:hAnsi="Times New Roman;Times;Serif"/>
          <w:b w:val="false"/>
          <w:i w:val="false"/>
          <w:caps w:val="false"/>
          <w:smallCaps w:val="false"/>
          <w:sz w:val="20"/>
          <w:u w:val="single"/>
        </w:rPr>
        <w:t>Reports to the Representative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3.9.1. </w:t>
      </w:r>
      <w:r>
        <w:rPr>
          <w:rFonts w:ascii="Times New Roman;Times;Serif" w:hAnsi="Times New Roman;Times;Serif"/>
          <w:b w:val="false"/>
          <w:i w:val="false"/>
          <w:caps w:val="false"/>
          <w:smallCaps w:val="false"/>
          <w:sz w:val="20"/>
          <w:u w:val="single"/>
        </w:rPr>
        <w:t>Periodic Reports, etc</w:t>
      </w:r>
      <w:r>
        <w:rPr>
          <w:rFonts w:ascii="Times New Roman;Times;Serif" w:hAnsi="Times New Roman;Times;Serif"/>
          <w:b w:val="false"/>
          <w:i w:val="false"/>
          <w:caps w:val="false"/>
          <w:smallCaps w:val="false"/>
          <w:sz w:val="20"/>
        </w:rPr>
        <w:t>. For a period of one (1) year after the date of this Agreement, the Company shall furnish or make available to the Representative copies of such financial statements and other periodic and special reports as the Company from time to time furnishes generally to holders of any class of its securities and also promptly furnish to the Representative: (i) a copy of each periodic report the Company shall be required to file with the Commission under the Exchange Act and the Exchange Act Regulations; (ii) a copy of every press release and every news item and article with respect to the Company or its affairs released by the Company; (iii) a copy of each Current Report on Form 6-K prepared and filed by the Company; (iv) a copy of each registration statement filed by the Company under the Securities Act; (v) a copy of each report or other communication furnished to shareholders; and (vi) such additional documents and information with respect to the Company and the affairs of any future subsidiaries of the Company as the Representative may from time to time reasonably request. Documents filed with the Commission via its EDGAR system shall be deemed to have been delivered to the Representative pursuant to this Section 3.9.1.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3.9.2. </w:t>
      </w:r>
      <w:r>
        <w:rPr>
          <w:rFonts w:ascii="Times New Roman;Times;Serif" w:hAnsi="Times New Roman;Times;Serif"/>
          <w:b w:val="false"/>
          <w:i w:val="false"/>
          <w:caps w:val="false"/>
          <w:smallCaps w:val="false"/>
          <w:sz w:val="20"/>
          <w:u w:val="single"/>
        </w:rPr>
        <w:t>Transfer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ent; Transfer Sheets</w:t>
      </w:r>
      <w:r>
        <w:rPr>
          <w:rFonts w:ascii="Times New Roman;Times;Serif" w:hAnsi="Times New Roman;Times;Serif"/>
          <w:b w:val="false"/>
          <w:i w:val="false"/>
          <w:caps w:val="false"/>
          <w:smallCaps w:val="false"/>
          <w:sz w:val="20"/>
        </w:rPr>
        <w:t>. For a period of one (1) year after the date of this Agreement, the Company shall retain a transfer agent and registrar in the United States reasonably acceptable to the Representative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Continental Stock Transfer &amp; Trust is acceptable to the Representative to act as Transfer Agent for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3.9.3. </w:t>
      </w:r>
      <w:r>
        <w:rPr>
          <w:rFonts w:ascii="Times New Roman;Times;Serif" w:hAnsi="Times New Roman;Times;Serif"/>
          <w:b w:val="false"/>
          <w:i w:val="false"/>
          <w:caps w:val="false"/>
          <w:smallCaps w:val="false"/>
          <w:sz w:val="20"/>
          <w:u w:val="single"/>
        </w:rPr>
        <w:t>Tradin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Reports</w:t>
      </w:r>
      <w:r>
        <w:rPr>
          <w:rFonts w:ascii="Times New Roman;Times;Serif" w:hAnsi="Times New Roman;Times;Serif"/>
          <w:b w:val="false"/>
          <w:i w:val="false"/>
          <w:caps w:val="false"/>
          <w:smallCaps w:val="false"/>
          <w:sz w:val="20"/>
        </w:rPr>
        <w:t>. For a period of one (1) year after the date of this Agreement, during such time as the Public Securities are listed on the Exchange, the Company shall provide to the Representative, at the Company’s expense, such reports published by the Exchange relating to price trading of the Public Securities, as the Representative may reasonably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3.10. </w:t>
      </w:r>
      <w:r>
        <w:rPr>
          <w:rFonts w:ascii="Times New Roman;Times;Serif" w:hAnsi="Times New Roman;Times;Serif"/>
          <w:b w:val="false"/>
          <w:i w:val="false"/>
          <w:caps w:val="false"/>
          <w:smallCaps w:val="false"/>
          <w:sz w:val="20"/>
          <w:u w:val="single"/>
        </w:rPr>
        <w:t>Payment of Expenses</w:t>
      </w:r>
      <w:r>
        <w:rPr>
          <w:rFonts w:ascii="Times New Roman;Times;Serif" w:hAnsi="Times New Roman;Times;Serif"/>
          <w:b w:val="false"/>
          <w:i w:val="false"/>
          <w:caps w:val="false"/>
          <w:smallCaps w:val="false"/>
          <w:sz w:val="20"/>
        </w:rPr>
        <w:t>. Whether or not the transactions contemplated in this Agreement are consummated or this Agreement is terminated, the Company agrees to pay all costs, fees and expenses incurred in connection with the transactions contemplated hereby, including without limitation (i) all of the reasonable and documented out-of-pocket expenses (including, but not limited to, travel, due diligence expenses, reasonable fees and expenses of its legal counsel, roadshow and background check on the Company’s principals) incurred by the Underwriters in an aggregate amount not to exceed $250,000 (inclusive of the Advance as defined below), provided that any expense over $2,000 shall require prior written or email approval of the Company, (ii) all expenses incident to the issuance and delivery of the Public Securities (including all printing and engraving costs, if any), (iii) all fees and expenses of the clearing firm, registrar and transfer agent of the Public Securities, (iv) all necessary issue, transfer and other stamp taxes in connection with the issuance and sale of the Offered Securities, (v) all fees and expenses of the Company’s counsel, independent public or certified public accountants and other advisors, (vi)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and (vii) all filing fees, attorneys’ fees and expenses incurred by the Company, or the Representative, in connection with qualifying or registering (or obtaining exemptions from the qualification or registration of) all or any part of the Public Securities for offer and sale under the state securities or blue sky laws, and, if requested by the Representative, preparing and printing a “Blue Sky Survey” or memorandum, and any supplements thereto, advising the Representative of such qualifications, registrations and exemptions. The Company has advanced $50,000 to the Underwriters to cover its out-of-pocket expenses (the “</w:t>
      </w:r>
      <w:r>
        <w:rPr>
          <w:rFonts w:ascii="Times New Roman;Times;Serif" w:hAnsi="Times New Roman;Times;Serif"/>
          <w:b/>
          <w:i w:val="false"/>
          <w:caps w:val="false"/>
          <w:smallCaps w:val="false"/>
          <w:sz w:val="20"/>
        </w:rPr>
        <w:t>Advance</w:t>
      </w:r>
      <w:r>
        <w:rPr>
          <w:rFonts w:ascii="Times New Roman;Times;Serif" w:hAnsi="Times New Roman;Times;Serif"/>
          <w:b w:val="false"/>
          <w:i w:val="false"/>
          <w:caps w:val="false"/>
          <w:smallCaps w:val="false"/>
          <w:sz w:val="20"/>
        </w:rPr>
        <w:t>”). The Advance will be returned to the Company to the extent such out-of-pocket accountable expenses are not actually incurred in accordance with FINRA Rule 5110(g)(4). At the closing of the Offering, the Company agrees to pay the Underwriters a sum in cash equal to one percent (1%) of the actual amount of the gross Offering proceeds (which includes any gross proceeds from the sale of any Option Shares) as a non-accountable expense of the Offering. The Company have agreed to pay the Underwriters an advisory fee of $100,000 in connection with the Offering. The Underwriters hereby confirm the receipt of such advisory fee.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 </w:t>
      </w:r>
      <w:r>
        <w:rPr>
          <w:rFonts w:ascii="Times New Roman;Times;Serif" w:hAnsi="Times New Roman;Times;Serif"/>
          <w:b w:val="false"/>
          <w:i w:val="false"/>
          <w:caps w:val="false"/>
          <w:smallCaps w:val="false"/>
          <w:sz w:val="20"/>
          <w:u w:val="single"/>
        </w:rPr>
        <w:t>Application of Net Proceeds</w:t>
      </w:r>
      <w:r>
        <w:rPr>
          <w:rFonts w:ascii="Times New Roman;Times;Serif" w:hAnsi="Times New Roman;Times;Serif"/>
          <w:b w:val="false"/>
          <w:i w:val="false"/>
          <w:caps w:val="false"/>
          <w:smallCaps w:val="false"/>
          <w:sz w:val="20"/>
        </w:rPr>
        <w:t>. The Company shall apply the net proceeds from the Offering received by it in a manner consistent with the application thereof described under the caption “Use of Proceeds” in the Registration Statement, the Pricing Disclosure Package and the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3.12.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w:t>
      </w:r>
      <w:r>
        <w:rPr>
          <w:rFonts w:ascii="Times New Roman;Times;Serif" w:hAnsi="Times New Roman;Times;Serif"/>
          <w:b w:val="false"/>
          <w:i w:val="false"/>
          <w:caps w:val="false"/>
          <w:smallCaps w:val="false"/>
          <w:sz w:val="20"/>
          <w:u w:val="single"/>
        </w:rPr>
        <w:t>Internal Controls</w:t>
      </w:r>
      <w:r>
        <w:rPr>
          <w:rFonts w:ascii="Times New Roman;Times;Serif" w:hAnsi="Times New Roman;Times;Serif"/>
          <w:b w:val="false"/>
          <w:i w:val="false"/>
          <w:caps w:val="false"/>
          <w:smallCaps w:val="false"/>
          <w:sz w:val="20"/>
        </w:rPr>
        <w:t>. Except as disclosed in the Registration Statement, Pricing Disclosure Package and the Prospectus, the Company and its Subsidiaries maintain a system of internal controls, including but not limited to, disclosure controls and procedures, “internal control over financial reporting” (as defined in Rule 13a-15(f) of the Exchange Act), and legal and regulatory compliance controls (collectively, the “</w:t>
      </w:r>
      <w:r>
        <w:rPr>
          <w:rFonts w:ascii="Times New Roman;Times;Serif" w:hAnsi="Times New Roman;Times;Serif"/>
          <w:b/>
          <w:i w:val="false"/>
          <w:caps w:val="false"/>
          <w:smallCaps w:val="false"/>
          <w:sz w:val="20"/>
        </w:rPr>
        <w:t>Internal Controls</w:t>
      </w:r>
      <w:r>
        <w:rPr>
          <w:rFonts w:ascii="Times New Roman;Times;Serif" w:hAnsi="Times New Roman;Times;Serif"/>
          <w:b w:val="false"/>
          <w:i w:val="false"/>
          <w:caps w:val="false"/>
          <w:smallCaps w:val="false"/>
          <w:sz w:val="20"/>
        </w:rPr>
        <w:t>”) that comply with all the applicable laws and regulations, including without limitation the Securities Act, the Exchange Act, the Sarbanes-Oxley Act, the rules and regulations of the Commission and the rules of the Exchange and are sufficient to provide reasonable assurance that (i) transactions are executed in accordance with management’s general or specific authorizations; (ii) transactions are recorded as necessary to permit preparation of financial statements in conformity with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Company’s Internal Controls are effective and the Company is not aware of any deficiency or material weaknesses in its Internal Controls. The Internal Controls upon the effectiveness of the Registration Statement will be overseen by the Audit Committee of the Board of Directors of the Company in accordance with the rules of the Exchange. Since the date of the most recent balance sheet included in the Registration Statement, the Pricing Disclosure Package and the Prospectus, (v) the Company’s auditors and the Audit Committee of the Company have not been advised of (A) any significant deficiencies or material weaknesses in the design or operation of the Internal Controls of the Company and its Subsidiaries; or (B) any fraud, whether or not material, that involves management or other employees who have a role in the Internal Controls of the Company or its Subsidiaries; and (vi) there have been no significant changes in the Internal Controls of the Company or its Subsidiaries or in other factors that could adversely affect such Internal Controls. Each of the deficiency, material weakness and other adverse events of the Internal Controls as described in the Registration Statement, the Pricing Disclosure Package and the Prospectus has been duly and completely corrected and rectified. Each of the Company’s independent directors meets the criterial for “independence” under the Sarbanes-Oxley Act, the rules and regulations of the Commission and the rules of the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3.15.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3.16. </w:t>
      </w:r>
      <w:r>
        <w:rPr>
          <w:rFonts w:ascii="Times New Roman;Times;Serif" w:hAnsi="Times New Roman;Times;Serif"/>
          <w:b w:val="false"/>
          <w:i w:val="false"/>
          <w:caps w:val="false"/>
          <w:smallCaps w:val="false"/>
          <w:sz w:val="20"/>
          <w:u w:val="single"/>
        </w:rPr>
        <w:t>FINRA</w:t>
      </w:r>
      <w:r>
        <w:rPr>
          <w:rFonts w:ascii="Times New Roman;Times;Serif" w:hAnsi="Times New Roman;Times;Serif"/>
          <w:b w:val="false"/>
          <w:i w:val="false"/>
          <w:caps w:val="false"/>
          <w:smallCaps w:val="false"/>
          <w:sz w:val="20"/>
        </w:rPr>
        <w:t>. For a period of 60 days from the later of the Closing Date or the Option Closing Date, the Company shall advise the Representative (who shall make an appropriate filing with FINRA) if it is or becomes aware that (i) any officer or director of the Company, (ii) any beneficial owner of 10%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3.17. </w:t>
      </w:r>
      <w:r>
        <w:rPr>
          <w:rFonts w:ascii="Times New Roman;Times;Serif" w:hAnsi="Times New Roman;Times;Serif"/>
          <w:b w:val="false"/>
          <w:i w:val="false"/>
          <w:caps w:val="false"/>
          <w:smallCaps w:val="false"/>
          <w:sz w:val="20"/>
          <w:u w:val="single"/>
        </w:rPr>
        <w:t>No Fiduciary Duties</w:t>
      </w:r>
      <w:r>
        <w:rPr>
          <w:rFonts w:ascii="Times New Roman;Times;Serif" w:hAnsi="Times New Roman;Times;Serif"/>
          <w:b w:val="false"/>
          <w:i w:val="false"/>
          <w:caps w:val="false"/>
          <w:smallCaps w:val="false"/>
          <w:sz w:val="20"/>
        </w:rPr>
        <w:t>. The Company acknowledges and agrees that the Underwriters’ responsibility to the Company is solely contractual in 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3.18.1. </w:t>
      </w:r>
      <w:r>
        <w:rPr>
          <w:rFonts w:ascii="Times New Roman;Times;Serif" w:hAnsi="Times New Roman;Times;Serif"/>
          <w:b w:val="false"/>
          <w:i w:val="false"/>
          <w:caps w:val="false"/>
          <w:smallCaps w:val="false"/>
          <w:sz w:val="20"/>
          <w:u w:val="single"/>
        </w:rPr>
        <w:t>Restriction on Sales of Capital Stock</w:t>
      </w:r>
      <w:r>
        <w:rPr>
          <w:rFonts w:ascii="Times New Roman;Times;Serif" w:hAnsi="Times New Roman;Times;Serif"/>
          <w:b w:val="false"/>
          <w:i w:val="false"/>
          <w:caps w:val="false"/>
          <w:smallCaps w:val="false"/>
          <w:sz w:val="20"/>
        </w:rPr>
        <w:t>. The Company, on behalf of itself and any successor entity, hereby agrees that, without the prior written consent of the Representative, it will not, for a period of three (3) months from the date of this Offering (the “</w:t>
      </w:r>
      <w:r>
        <w:rPr>
          <w:rFonts w:ascii="Times New Roman;Times;Serif" w:hAnsi="Times New Roman;Times;Serif"/>
          <w:b/>
          <w:i w:val="false"/>
          <w:caps w:val="false"/>
          <w:smallCaps w:val="false"/>
          <w:sz w:val="20"/>
        </w:rPr>
        <w:t>Company Lock-Up Period</w:t>
      </w:r>
      <w:r>
        <w:rPr>
          <w:rFonts w:ascii="Times New Roman;Times;Serif" w:hAnsi="Times New Roman;Times;Serif"/>
          <w:b w:val="false"/>
          <w:i w:val="false"/>
          <w:caps w:val="false"/>
          <w:smallCaps w:val="false"/>
          <w:sz w:val="20"/>
        </w:rPr>
        <w:t xml:space="preserve">”),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(ii) file or cause to be filed any registration statement with the Commission relating to the offering of any shares of capital stock of the Company or any securities convertible into or exercisable or exchangeable for shares of capital stock of the Company,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 The restrictions contained in this Section 3.18.1 shall not apply to (i) the Public Securities, and (ii) the issuance by the Company of Ordinary Shares upon the exercise of such warrants or the conversion of such security disclosed in the Registration Statement, the Pricing Disclosure Package or the Prospectus, subject to certain exceptions and restrictions, as set forth on </w:t>
      </w:r>
      <w:r>
        <w:rPr>
          <w:rFonts w:ascii="Times New Roman;Times;Serif" w:hAnsi="Times New Roman;Times;Serif"/>
          <w:b w:val="false"/>
          <w:i w:val="false"/>
          <w:caps w:val="false"/>
          <w:smallCaps w:val="false"/>
          <w:sz w:val="20"/>
          <w:u w:val="single"/>
        </w:rPr>
        <w:t>Schedule 7</w:t>
      </w:r>
      <w:r>
        <w:rPr>
          <w:rFonts w:ascii="Times New Roman;Times;Serif" w:hAnsi="Times New Roman;Times;Serif"/>
          <w:b w:val="false"/>
          <w:i w:val="false"/>
          <w:caps w:val="false"/>
          <w:smallCaps w:val="false"/>
          <w:sz w:val="20"/>
        </w:rPr>
        <w:t>. Subject to the discretion of the Company’s Board of Directors, the Company may accelerate the vesting of certain options issued under the Company’s Employee Stock Option Plan during the Company Lock-Up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3.18.2.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The Company’s directors and officers and any holder of the outstanding Ordinary Shares as of the Effective Date of the Registration Statement as set forth in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hereto, have entered into customary “lock-up” agreements in favor of the Representative pursuant to which such persons and entities agree, for a period of six (6) months from the Closing Date (the “</w:t>
      </w:r>
      <w:r>
        <w:rPr>
          <w:rFonts w:ascii="Times New Roman;Times;Serif" w:hAnsi="Times New Roman;Times;Serif"/>
          <w:b/>
          <w:i w:val="false"/>
          <w:caps w:val="false"/>
          <w:smallCaps w:val="false"/>
          <w:sz w:val="20"/>
        </w:rPr>
        <w:t>Insider Lock-Up Period</w:t>
      </w:r>
      <w:r>
        <w:rPr>
          <w:rFonts w:ascii="Times New Roman;Times;Serif" w:hAnsi="Times New Roman;Times;Serif"/>
          <w:b w:val="false"/>
          <w:i w:val="false"/>
          <w:caps w:val="false"/>
          <w:smallCaps w:val="false"/>
          <w:sz w:val="20"/>
        </w:rPr>
        <w:t>”), that they will not, without the prior written consent of the Representative, (i) offer, sell, contract to sell, grant, lend, or otherwise transfer or dispose of, directly or indirectly, any ordinary shares or any securities convertible into or exercisable or exchangeable for ordinary shares (“</w:t>
      </w:r>
      <w:r>
        <w:rPr>
          <w:rFonts w:ascii="Times New Roman;Times;Serif" w:hAnsi="Times New Roman;Times;Serif"/>
          <w:b/>
          <w:i w:val="false"/>
          <w:caps w:val="false"/>
          <w:smallCaps w:val="false"/>
          <w:sz w:val="20"/>
        </w:rPr>
        <w:t>Insider Lock-Up Securities</w:t>
      </w:r>
      <w:r>
        <w:rPr>
          <w:rFonts w:ascii="Times New Roman;Times;Serif" w:hAnsi="Times New Roman;Times;Serif"/>
          <w:b w:val="false"/>
          <w:i w:val="false"/>
          <w:caps w:val="false"/>
          <w:smallCaps w:val="false"/>
          <w:sz w:val="20"/>
        </w:rPr>
        <w:t xml:space="preserve">”), whether now owned or hereafter acquired or with respect to which such person has or thereafter acquires the power of disposition; (ii) enter into any swap or other arrangement that transfers to another, in whole or in part, any of the economic consequences of ownership of the Insider Lock-Up Securities, whether any such transaction described in clause (i) or (ii) above is to be settled by delivery of Insider Lock-Up Securities, in cash or otherwise; (iii) make any demand for or exercise any right with respect to the registration of any Insider Lock-Up Securities; or (iv) publicly disclose the intention to make any offer, sale, or disposition, or to enter into any transaction, swap, hedge or other arrangement relating to any Insider Lock-Up Securities. Notwithstanding, the Company and the Representative agree such individuals and entities included on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shall exclude certain shareholders of the Company with respect to certain number of Ordinary Shares or securities convertible into or exercisable for Ordinary Shares such shareholders hold with certain exceptions as set forth on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3.18.3. </w:t>
      </w:r>
      <w:r>
        <w:rPr>
          <w:rFonts w:ascii="Times New Roman;Times;Serif" w:hAnsi="Times New Roman;Times;Serif"/>
          <w:b w:val="false"/>
          <w:i w:val="false"/>
          <w:caps w:val="false"/>
          <w:smallCaps w:val="false"/>
          <w:sz w:val="20"/>
          <w:u w:val="single"/>
        </w:rPr>
        <w:t>Lock-Up of Potential Shareholders</w:t>
      </w:r>
      <w:r>
        <w:rPr>
          <w:rFonts w:ascii="Times New Roman;Times;Serif" w:hAnsi="Times New Roman;Times;Serif"/>
          <w:b w:val="false"/>
          <w:i w:val="false"/>
          <w:caps w:val="false"/>
          <w:smallCaps w:val="false"/>
          <w:sz w:val="20"/>
        </w:rPr>
        <w:t>. The Company agrees that if the Company issues any securities of the Company (including but not limited to stock options, restricted stock, restricted stock units, share appreciation rights) or any Ordinary Shares upon the exercise of such securities under the Employee Share Option Plan during the period of six (6) months from the Closing Date (the “</w:t>
      </w:r>
      <w:r>
        <w:rPr>
          <w:rFonts w:ascii="Times New Roman;Times;Serif" w:hAnsi="Times New Roman;Times;Serif"/>
          <w:b/>
          <w:i w:val="false"/>
          <w:caps w:val="false"/>
          <w:smallCaps w:val="false"/>
          <w:sz w:val="20"/>
        </w:rPr>
        <w:t>Plan Lock-Up Securities</w:t>
      </w:r>
      <w:r>
        <w:rPr>
          <w:rFonts w:ascii="Times New Roman;Times;Serif" w:hAnsi="Times New Roman;Times;Serif"/>
          <w:b w:val="false"/>
          <w:i w:val="false"/>
          <w:caps w:val="false"/>
          <w:smallCaps w:val="false"/>
          <w:sz w:val="20"/>
        </w:rPr>
        <w:t>”), the Company shall cause the holders of such Plan Lock-Up Securities to be bound in writing by the terms substantially the same as provided under Section 3.18.3 of this Agreement, for a period commencing on the issuance of such Plan Lock-Up Securities and terminating six (6) months after the Closing Date, in form and substance reasonably satisfactory to the Representative. The Company shall additionally (i) notify its Transfer Agent in writing of the stop order and the restrictions on such Plan Lock-Up Securities under this Agreement and direct the Transfer Agent not to process any attempts by such holder to resell or transfer any Plan Lock-Up Securities, as applicable; and (ii) cause its transfer agent to place irrevocable stop transfer instructions on such Plan Lock-Up Securities.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w:t>
      </w:r>
      <w:r>
        <w:rPr>
          <w:rFonts w:ascii="Times New Roman;Times;Serif" w:hAnsi="Times New Roman;Times;Serif"/>
          <w:b w:val="false"/>
          <w:i w:val="false"/>
          <w:caps w:val="false"/>
          <w:smallCaps w:val="false"/>
          <w:sz w:val="20"/>
          <w:u w:val="single"/>
        </w:rPr>
        <w:t>Release of Insider Lock-up Period</w:t>
      </w:r>
      <w:r>
        <w:rPr>
          <w:rFonts w:ascii="Times New Roman;Times;Serif" w:hAnsi="Times New Roman;Times;Serif"/>
          <w:b w:val="false"/>
          <w:i w:val="false"/>
          <w:caps w:val="false"/>
          <w:smallCaps w:val="false"/>
          <w:sz w:val="20"/>
        </w:rPr>
        <w:t xml:space="preserve">. If the Representative, in its sole discretion, agrees to release or waive the restrictions set forth in the Lock-Up Agreements described in Section 3.18.2 hereof for an officer or director of the Company or, with certain exceptions as provided under Section 3.18.2. hereof, any holder of the Company’s issued and outstanding Ordinary Shares and provides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through a major news service at least two (2) Business Days before the effective date of the release or waiver. The Company shall also file an appropriate Form 6-K with the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3.20. </w:t>
      </w:r>
      <w:r>
        <w:rPr>
          <w:rFonts w:ascii="Times New Roman;Times;Serif" w:hAnsi="Times New Roman;Times;Serif"/>
          <w:b w:val="false"/>
          <w:i w:val="false"/>
          <w:caps w:val="false"/>
          <w:smallCaps w:val="false"/>
          <w:sz w:val="20"/>
          <w:u w:val="single"/>
        </w:rPr>
        <w:t>Blue Sky Qualifications</w:t>
      </w:r>
      <w:r>
        <w:rPr>
          <w:rFonts w:ascii="Times New Roman;Times;Serif" w:hAnsi="Times New Roman;Times;Serif"/>
          <w:b w:val="false"/>
          <w:i w:val="false"/>
          <w:caps w:val="false"/>
          <w:smallCaps w:val="false"/>
          <w:sz w:val="20"/>
        </w:rPr>
        <w:t>. The Company shall use its commercially reasonable efforts, in cooperation with the Underwriters, if necessary, to qualify the Public Securities for offering and sale under the applicable securities laws of such states and other jurisdictions (domestic or foreign) as the Representative may reasonably designate and to maintain such qualifications in effect so long as required to complete the distribution of the Public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3.21. </w:t>
      </w:r>
      <w:r>
        <w:rPr>
          <w:rFonts w:ascii="Times New Roman;Times;Serif" w:hAnsi="Times New Roman;Times;Serif"/>
          <w:b w:val="false"/>
          <w:i w:val="false"/>
          <w:caps w:val="false"/>
          <w:smallCaps w:val="false"/>
          <w:sz w:val="20"/>
          <w:u w:val="single"/>
        </w:rPr>
        <w:t>Reporting Requirements</w:t>
      </w:r>
      <w:r>
        <w:rPr>
          <w:rFonts w:ascii="Times New Roman;Times;Serif" w:hAnsi="Times New Roman;Times;Serif"/>
          <w:b w:val="false"/>
          <w:i w:val="false"/>
          <w:caps w:val="false"/>
          <w:smallCaps w:val="false"/>
          <w:sz w:val="20"/>
        </w:rPr>
        <w:t>. The Company, during the period when a prospectus relating to the Public Securities is (or, but for the exception afforded by 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Public Securities as may be required under Rule 463 under the Securities Act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3.22. </w:t>
      </w:r>
      <w:r>
        <w:rPr>
          <w:rFonts w:ascii="Times New Roman;Times;Serif" w:hAnsi="Times New Roman;Times;Serif"/>
          <w:b w:val="false"/>
          <w:i w:val="false"/>
          <w:caps w:val="false"/>
          <w:smallCaps w:val="false"/>
          <w:sz w:val="20"/>
          <w:u w:val="single"/>
        </w:rPr>
        <w:t>Emerging Growth Company Status</w:t>
      </w:r>
      <w:r>
        <w:rPr>
          <w:rFonts w:ascii="Times New Roman;Times;Serif" w:hAnsi="Times New Roman;Times;Serif"/>
          <w:b w:val="false"/>
          <w:i w:val="false"/>
          <w:caps w:val="false"/>
          <w:smallCaps w:val="false"/>
          <w:sz w:val="20"/>
        </w:rPr>
        <w:t>. The Company shall promptly notify the Representative if the Company ceases to be an Emerging Growth Company at any time prior to the later of (i) completion of the distribution of the Public Securities within the meaning of the Securities Act and (ii) fifteen (15) days following the completion of the Lock-Up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3.23. </w:t>
      </w:r>
      <w:r>
        <w:rPr>
          <w:rFonts w:ascii="Times New Roman;Times;Serif" w:hAnsi="Times New Roman;Times;Serif"/>
          <w:b w:val="false"/>
          <w:i w:val="false"/>
          <w:caps w:val="false"/>
          <w:smallCaps w:val="false"/>
          <w:sz w:val="20"/>
          <w:u w:val="single"/>
        </w:rPr>
        <w:t>Press Releases</w:t>
      </w:r>
      <w:r>
        <w:rPr>
          <w:rFonts w:ascii="Times New Roman;Times;Serif" w:hAnsi="Times New Roman;Times;Serif"/>
          <w:b w:val="false"/>
          <w:i w:val="false"/>
          <w:caps w:val="false"/>
          <w:smallCaps w:val="false"/>
          <w:sz w:val="20"/>
        </w:rPr>
        <w:t>. Prior to the Closing Date and any Option Closing Date (if any), the Company shall not issue any press release or other communication directly or indirectly or hold any press conference with respect to the Company, its condition, financial or otherwise, or earnings, business affairs or business prospects (except for routine oral marketing communications in the ordinary course of business and consistent with the past practices of the Company and of which the Representative is notified), without the prior written consent of the Representative, which consent shall not be unreasonably withheld, unless in the judgment of the Company and its counsel, and after notification to the Representative, such press release or communication is required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3.24. </w:t>
      </w:r>
      <w:r>
        <w:rPr>
          <w:rFonts w:ascii="Times New Roman;Times;Serif" w:hAnsi="Times New Roman;Times;Serif"/>
          <w:b w:val="false"/>
          <w:i w:val="false"/>
          <w:caps w:val="false"/>
          <w:smallCaps w:val="false"/>
          <w:sz w:val="20"/>
          <w:u w:val="single"/>
        </w:rPr>
        <w:t>Sarbanes-Oxle</w:t>
      </w:r>
      <w:r>
        <w:rPr>
          <w:rFonts w:ascii="Times New Roman;Times;Serif" w:hAnsi="Times New Roman;Times;Serif"/>
          <w:b w:val="false"/>
          <w:i w:val="false"/>
          <w:caps w:val="false"/>
          <w:smallCaps w:val="false"/>
          <w:sz w:val="20"/>
        </w:rPr>
        <w:t>y. The Company shall at all times comply in all material respects with all applicable provisions of the Sarbanes-Oxley Act in effect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Conditions of Underwriters’ Obl</w:t>
      </w:r>
      <w:r>
        <w:rPr>
          <w:rFonts w:ascii="Times New Roman;Times;Serif" w:hAnsi="Times New Roman;Times;Serif"/>
          <w:b w:val="false"/>
          <w:i w:val="false"/>
          <w:caps w:val="false"/>
          <w:smallCaps w:val="false"/>
          <w:sz w:val="20"/>
        </w:rPr>
        <w:t>ig</w:t>
      </w:r>
      <w:r>
        <w:rPr>
          <w:rFonts w:ascii="Times New Roman;Times;Serif" w:hAnsi="Times New Roman;Times;Serif"/>
          <w:b w:val="false"/>
          <w:i w:val="false"/>
          <w:caps w:val="false"/>
          <w:smallCaps w:val="false"/>
          <w:sz w:val="20"/>
          <w:u w:val="single"/>
        </w:rPr>
        <w:t>ations</w:t>
      </w:r>
      <w:r>
        <w:rPr>
          <w:rFonts w:ascii="Times New Roman;Times;Serif" w:hAnsi="Times New Roman;Times;Serif"/>
          <w:b w:val="false"/>
          <w:i w:val="false"/>
          <w:caps w:val="false"/>
          <w:smallCaps w:val="false"/>
          <w:sz w:val="20"/>
        </w:rPr>
        <w:t>. The obligations of the Underwriters to purchase and pay for the Firm Shares,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covenants and obligations hereunder; and (iv) the following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Re</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ulatory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Effectiveness of Registration Statement; Rule 430A Information</w:t>
      </w:r>
      <w:r>
        <w:rPr>
          <w:rFonts w:ascii="Times New Roman;Times;Serif" w:hAnsi="Times New Roman;Times;Serif"/>
          <w:b w:val="false"/>
          <w:i w:val="false"/>
          <w:caps w:val="false"/>
          <w:smallCaps w:val="false"/>
          <w:sz w:val="20"/>
        </w:rPr>
        <w:t>. The Registration Statement shall have become effective not later than 5:30 p.m., New York City, New York, time, on the date of this Agreement or such later date and time as shall be consented to in writing by the Representative, and, at each of the Closing Date and any Option Closing Date, no stop order suspending the effectiveness of the Registration Statement or any post-effective amendment thereto shall have been issued by the Commission under the Securities Act, no order preventing or suspending the use of any Preliminary Prospectus or the Prospectus shall have been issued and no proceedings for any of those purposes shall have been instituted or are pending or, to the Company’s knowledge, contemplated by the Commission. The Company has complied with each request (if any) from the Commission for additional information. A prospectus containing the Rule 430A Information shall have been filed with the Commission in the manner and within the time frame required by Rule 424(b) under the Securities Act Regulations or a post-effective amendment providing such information shall have been filed with, and declared effective by, the Commission in accordance with the requirements of Rule 430A under the Securities Act Regulations.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FINRA Clearance</w:t>
      </w:r>
      <w:r>
        <w:rPr>
          <w:rFonts w:ascii="Times New Roman;Times;Serif" w:hAnsi="Times New Roman;Times;Serif"/>
          <w:b w:val="false"/>
          <w:i w:val="false"/>
          <w:caps w:val="false"/>
          <w:smallCaps w:val="false"/>
          <w:sz w:val="20"/>
        </w:rPr>
        <w:t>. On or before the date of this Agreement, the Representative shall have received clearance from FINRA as to the amount of compensation allowable or payable to the Underwriters as described in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Exchan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 Clearance</w:t>
      </w:r>
      <w:r>
        <w:rPr>
          <w:rFonts w:ascii="Times New Roman;Times;Serif" w:hAnsi="Times New Roman;Times;Serif"/>
          <w:b w:val="false"/>
          <w:i w:val="false"/>
          <w:caps w:val="false"/>
          <w:smallCaps w:val="false"/>
          <w:sz w:val="20"/>
        </w:rPr>
        <w:t>. On the Closing Date, the Firm Shares shall have been approved for listing on the Exchange, subject only to official notice of issuance. On the first Option Closing Date (if any), the Option Shares shall have been approved for listing on the Exchange, subject only to official notice of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Company Counsel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Closin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Date Opinion of Counsel</w:t>
      </w:r>
      <w:r>
        <w:rPr>
          <w:rFonts w:ascii="Times New Roman;Times;Serif" w:hAnsi="Times New Roman;Times;Serif"/>
          <w:b w:val="false"/>
          <w:i w:val="false"/>
          <w:caps w:val="false"/>
          <w:smallCaps w:val="false"/>
          <w:sz w:val="20"/>
        </w:rPr>
        <w:t>. On the Closing Date, the Representative shall have received (i) the opinion of Gibson, Dunn &amp; Crutcher LLP, United States counsel to the Company (“</w:t>
      </w:r>
      <w:r>
        <w:rPr>
          <w:rFonts w:ascii="Times New Roman;Times;Serif" w:hAnsi="Times New Roman;Times;Serif"/>
          <w:b/>
          <w:i w:val="false"/>
          <w:caps w:val="false"/>
          <w:smallCaps w:val="false"/>
          <w:sz w:val="20"/>
        </w:rPr>
        <w:t>U.S. Counsel</w:t>
      </w:r>
      <w:r>
        <w:rPr>
          <w:rFonts w:ascii="Times New Roman;Times;Serif" w:hAnsi="Times New Roman;Times;Serif"/>
          <w:b w:val="false"/>
          <w:i w:val="false"/>
          <w:caps w:val="false"/>
          <w:smallCaps w:val="false"/>
          <w:sz w:val="20"/>
        </w:rPr>
        <w:t>”) in form and substance reasonably satisfactory to the Representative; (ii) the opinion of Ogier, Cayman Islands counsel to the Company (“</w:t>
      </w:r>
      <w:r>
        <w:rPr>
          <w:rFonts w:ascii="Times New Roman;Times;Serif" w:hAnsi="Times New Roman;Times;Serif"/>
          <w:b/>
          <w:i w:val="false"/>
          <w:caps w:val="false"/>
          <w:smallCaps w:val="false"/>
          <w:sz w:val="20"/>
        </w:rPr>
        <w:t>Cayman Islands Counsel</w:t>
      </w:r>
      <w:r>
        <w:rPr>
          <w:rFonts w:ascii="Times New Roman;Times;Serif" w:hAnsi="Times New Roman;Times;Serif"/>
          <w:b w:val="false"/>
          <w:i w:val="false"/>
          <w:caps w:val="false"/>
          <w:smallCaps w:val="false"/>
          <w:sz w:val="20"/>
        </w:rPr>
        <w:t>”) in form and substance reasonably satisfactory to the Representative; (iii) the opinion of CCLA Advogados, Brazil counsel to the Company (“</w:t>
      </w:r>
      <w:r>
        <w:rPr>
          <w:rFonts w:ascii="Times New Roman;Times;Serif" w:hAnsi="Times New Roman;Times;Serif"/>
          <w:b/>
          <w:i w:val="false"/>
          <w:caps w:val="false"/>
          <w:smallCaps w:val="false"/>
          <w:sz w:val="20"/>
        </w:rPr>
        <w:t>Brazil Counsel</w:t>
      </w:r>
      <w:r>
        <w:rPr>
          <w:rFonts w:ascii="Times New Roman;Times;Serif" w:hAnsi="Times New Roman;Times;Serif"/>
          <w:b w:val="false"/>
          <w:i w:val="false"/>
          <w:caps w:val="false"/>
          <w:smallCaps w:val="false"/>
          <w:sz w:val="20"/>
        </w:rPr>
        <w:t>”), in form and substance reasonably satisfactory to the Representative; (iv) a written statement providing certain “10b-5” negative assurances, of U.S. Counsel in form and substance reasonably satisfactory to the Representative, and (v) a written statement providing certain “10b-5” negative assurances of the Representative’s Counsel, in form and substance reasonably satisfactory to the Representative, all dated the Closing Date and addressed to the Representative.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Option Closing Date Opinions of Counsel</w:t>
      </w:r>
      <w:r>
        <w:rPr>
          <w:rFonts w:ascii="Times New Roman;Times;Serif" w:hAnsi="Times New Roman;Times;Serif"/>
          <w:b w:val="false"/>
          <w:i w:val="false"/>
          <w:caps w:val="false"/>
          <w:smallCaps w:val="false"/>
          <w:sz w:val="20"/>
        </w:rPr>
        <w:t>. On the Option Closing Date, if any, the Representative shall have received the opinions of counsel listed in Section 4.2.1, dated the Option Closing Date, addressed to the Representative and in form and substance satisfactory to the Representative, confirming as of the Option Closing Date, the statements made by such counsel in their respective opinion and also the written “10b-5” negative assurance statement delivered on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Comfort Letters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4.3.1. </w:t>
      </w:r>
      <w:r>
        <w:rPr>
          <w:rFonts w:ascii="Times New Roman;Times;Serif" w:hAnsi="Times New Roman;Times;Serif"/>
          <w:b w:val="false"/>
          <w:i w:val="false"/>
          <w:caps w:val="false"/>
          <w:smallCaps w:val="false"/>
          <w:sz w:val="20"/>
          <w:u w:val="single"/>
        </w:rPr>
        <w:t>Cold Comfort Letter</w:t>
      </w:r>
      <w:r>
        <w:rPr>
          <w:rFonts w:ascii="Times New Roman;Times;Serif" w:hAnsi="Times New Roman;Times;Serif"/>
          <w:b w:val="false"/>
          <w:i w:val="false"/>
          <w:caps w:val="false"/>
          <w:smallCaps w:val="false"/>
          <w:sz w:val="20"/>
        </w:rPr>
        <w:t>. At the time this Agreement is executed, the Representative shall have received a cold comfort letter from the Auditor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as representative of the Underwriters and in form and substance satisfactory to the counsel to the Underwriters, dated as of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4.3.2. </w:t>
      </w:r>
      <w:r>
        <w:rPr>
          <w:rFonts w:ascii="Times New Roman;Times;Serif" w:hAnsi="Times New Roman;Times;Serif"/>
          <w:b w:val="false"/>
          <w:i w:val="false"/>
          <w:caps w:val="false"/>
          <w:smallCaps w:val="false"/>
          <w:sz w:val="20"/>
          <w:u w:val="single"/>
        </w:rPr>
        <w:t>Brin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-down Comfort Letter</w:t>
      </w:r>
      <w:r>
        <w:rPr>
          <w:rFonts w:ascii="Times New Roman;Times;Serif" w:hAnsi="Times New Roman;Times;Serif"/>
          <w:b w:val="false"/>
          <w:i w:val="false"/>
          <w:caps w:val="false"/>
          <w:smallCaps w:val="false"/>
          <w:sz w:val="20"/>
        </w:rPr>
        <w:t>. At each of the Closing Date and the Option Closing Date, if any, the Representative shall have received from the Auditor a letter, dated as of the Closing Date or the Option Closing Date, as applicable, to the effect that the Auditor reaffirms the statements made in the letter furnished pursuant to Section 4.3.1, except that the specified date referred to shall be a date not more than three (3) Business Days prior to the Closing Date or the Option Closing Date, as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Officers’ Certificates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4.4.1. </w:t>
      </w:r>
      <w:r>
        <w:rPr>
          <w:rFonts w:ascii="Times New Roman;Times;Serif" w:hAnsi="Times New Roman;Times;Serif"/>
          <w:b w:val="false"/>
          <w:i w:val="false"/>
          <w:caps w:val="false"/>
          <w:smallCaps w:val="false"/>
          <w:sz w:val="20"/>
          <w:u w:val="single"/>
        </w:rPr>
        <w:t>Officers’ Certificate</w:t>
      </w:r>
      <w:r>
        <w:rPr>
          <w:rFonts w:ascii="Times New Roman;Times;Serif" w:hAnsi="Times New Roman;Times;Serif"/>
          <w:b w:val="false"/>
          <w:i w:val="false"/>
          <w:caps w:val="false"/>
          <w:smallCaps w:val="false"/>
          <w:sz w:val="20"/>
        </w:rPr>
        <w:t>. The Company shall have furnished to the Representative a certificate, dated the Closing Date and any Option Closing Date (if such date is other than the Closing Date), of its Chief Executive Officer and its Chief Financial Officer stating on behalf of the Company and not in an individual capacity that: (i) such officers have carefully examined the Registration Statement, the Pricing Disclosure Package, any Issuer Free Writing Prospectus and the Prospectus, they believe that the Registration Statement and each amendment thereto after the Effective Date,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in light of the circumstances under which they were made,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after the Effective Date, as of the respective date thereof and as of the Closing Date, did not include any untrue statement of a material fact and did not omit to state a material fact necessary in order to make the statements therein, in the light of the circumstances under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in the Pricing Disclosure Package, a Material Adverse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Gibson to provide.</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4.4.2. </w:t>
      </w:r>
      <w:r>
        <w:rPr>
          <w:rFonts w:ascii="Times New Roman;Times;Serif" w:hAnsi="Times New Roman;Times;Serif"/>
          <w:b w:val="false"/>
          <w:i w:val="false"/>
          <w:caps w:val="false"/>
          <w:smallCaps w:val="false"/>
          <w:sz w:val="20"/>
          <w:u w:val="single"/>
        </w:rPr>
        <w:t>Chairman’s Certificate</w:t>
      </w:r>
      <w:r>
        <w:rPr>
          <w:rFonts w:ascii="Times New Roman;Times;Serif" w:hAnsi="Times New Roman;Times;Serif"/>
          <w:b w:val="false"/>
          <w:i w:val="false"/>
          <w:caps w:val="false"/>
          <w:smallCaps w:val="false"/>
          <w:sz w:val="20"/>
        </w:rPr>
        <w:t>. At each of the Closing Date and the Option Closing Date, if any, the Representative shall have received a certificate of the Company signed by the chairman of the board of directors of the Company, dated the Closing Date or the Option Closing Date, as the case may be, respectively, certifying on behalf of the Company and not in an individual capacity: (i) that each of the Amended and Restated Memorandum and Articles of Association is true and complete, has not been amended or modified and is in full force and effect; (ii) that the resolutions of the Company’s Board of Directors relating to the Offering are in full force and effect and have not been modified or rescinded; and (iii) as to the incumbency of the officers of the Company who have signed the certificates set forth in Section 4.4.1 hereof. The documents referred to in such certificate shall be attached to such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No Material Chan</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es</w:t>
      </w:r>
      <w:r>
        <w:rPr>
          <w:rFonts w:ascii="Times New Roman;Times;Serif" w:hAnsi="Times New Roman;Times;Serif"/>
          <w:b w:val="false"/>
          <w:i w:val="false"/>
          <w:caps w:val="false"/>
          <w:smallCaps w:val="false"/>
          <w:sz w:val="20"/>
        </w:rPr>
        <w:t>. Prior to and on each of the Closing Date and each Option Closing Date, if any: (i) there shall have been no Material Adverse Change in the condition, financial or otherwise, business or prospects of the Company from the date of this Agreement; (ii) no action, suit or proceeding, at law or in equity, shall have been pending or, to the knowledge of the Company, threatened against the Company or any Insider before or by any court or federal or state commission, board or other administrative agency wherein an unfavorable decision, ruling or finding may reasonably be expected to cause a Material Adverse Change, except as set forth in the Registration Statement, the Pricing Disclosure Package and the Prospectus; (iii) no stop order shall have been issued by the Commission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No Material Misstatement or Omission</w:t>
      </w:r>
      <w:r>
        <w:rPr>
          <w:rFonts w:ascii="Times New Roman;Times;Serif" w:hAnsi="Times New Roman;Times;Serif"/>
          <w:b w:val="false"/>
          <w:i w:val="false"/>
          <w:caps w:val="false"/>
          <w:smallCaps w:val="false"/>
          <w:sz w:val="20"/>
        </w:rPr>
        <w:t>. The Underwriters shall not have discovered and disclosed to the Company on or prior to the Closing Date and any Option Closing Date that the Registration Statement or any amendment or supplement thereto contains an untrue statement of a fact which, in the reasonable opinion of Representative Counsel, is material or omits to state any fact which, in the opinion of such counsel, is material and is required to be stated therein or is necessary to make the statements therein, in the light of the circumstances under which they were made, not misleading, or that the Registration Statement, the Pricing Disclosure Package, any Issuer Free Writing Prospectus, if any, or the Prospectus or any amendment or supplement thereto contains an untrue statement of fact which, in the opinion of Representative’s legal counsel, is material or omits to state any fact which, in the opinion of Representative’s legal counsel, is material and is necessary in order to make the statements, in the light of the circumstances under which they were made, not misleading.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Corporate Proceedings</w:t>
      </w:r>
      <w:r>
        <w:rPr>
          <w:rFonts w:ascii="Times New Roman;Times;Serif" w:hAnsi="Times New Roman;Times;Serif"/>
          <w:b w:val="false"/>
          <w:i w:val="false"/>
          <w:caps w:val="false"/>
          <w:smallCaps w:val="false"/>
          <w:sz w:val="20"/>
        </w:rPr>
        <w:t>. All corporate proceedings and other legal matters incident to the authorization, form and validity of each of this Agreement, the Public Securities, the Registration Statement, the Pricing Disclosure Package, each Issuer Free Writing Prospectus, if any, and the Prospectus and all other legal matters relating to this Agreement, and the transactions contemplated hereby and thereby shall be reasonably satisfactory in all material respects to the legal counsel to the Underwriters, and the Company shall have furnished to such counsel all documents and information that they may reasonably request to enable them to pass upon such matters.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Delivery of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4.8.1.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On or before the date of this Agreement, the Company shall have delivered to the Representative executed copies of the Lock-Up Agreements from each of the persons listed in </w:t>
      </w:r>
      <w:r>
        <w:rPr>
          <w:rFonts w:ascii="Times New Roman;Times;Serif" w:hAnsi="Times New Roman;Times;Serif"/>
          <w:b w:val="false"/>
          <w:i w:val="false"/>
          <w:caps w:val="false"/>
          <w:smallCaps w:val="false"/>
          <w:sz w:val="20"/>
          <w:u w:val="single"/>
        </w:rPr>
        <w:t>Schedule 4</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4.9. </w:t>
      </w:r>
      <w:r>
        <w:rPr>
          <w:rFonts w:ascii="Times New Roman;Times;Serif" w:hAnsi="Times New Roman;Times;Serif"/>
          <w:b w:val="false"/>
          <w:i w:val="false"/>
          <w:caps w:val="false"/>
          <w:smallCaps w:val="false"/>
          <w:sz w:val="20"/>
          <w:u w:val="single"/>
        </w:rPr>
        <w:t>Additional Documents</w:t>
      </w:r>
      <w:r>
        <w:rPr>
          <w:rFonts w:ascii="Times New Roman;Times;Serif" w:hAnsi="Times New Roman;Times;Serif"/>
          <w:b w:val="false"/>
          <w:i w:val="false"/>
          <w:caps w:val="false"/>
          <w:smallCaps w:val="false"/>
          <w:sz w:val="20"/>
        </w:rPr>
        <w:t>. At the Closing Date and at each Option Closing Date (if any), the Representative’s legal counsel shall have been furnished with such documents as they may reasonably require for the purpose of enabling such counsel to the Underwriters to deliver an opinion to the Underwriters, or in order to evidence the accuracy of any of the representations or warranties, or the fulfillment of any of the conditions, herein contained; and all proceedings taken by the Company in connection with the issuance and sale of the Public Securities as herein contemplated shall be satisfactory in form and substance to the Representative and Representative’s legal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Indemnification of the Underwriters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Company shall indemnify and hold harmless each Underwriter, its affiliates and each of its and their respective directors, officers, members, employees, representatives, partners, shareholders, affiliates, legal counsel and agents and each person, if any, who controls any such Underwriter within the meaning of Section 15 of the Securities Act or Section 20 of the Exchange Act (collectively the “</w:t>
      </w:r>
      <w:r>
        <w:rPr>
          <w:rFonts w:ascii="Times New Roman;Times;Serif" w:hAnsi="Times New Roman;Times;Serif"/>
          <w:b/>
          <w:i w:val="false"/>
          <w:caps w:val="false"/>
          <w:smallCaps w:val="false"/>
          <w:sz w:val="20"/>
        </w:rPr>
        <w:t>Underwriter Indemnified Parties</w:t>
      </w:r>
      <w:r>
        <w:rPr>
          <w:rFonts w:ascii="Times New Roman;Times;Serif" w:hAnsi="Times New Roman;Times;Serif"/>
          <w:b w:val="false"/>
          <w:i w:val="false"/>
          <w:caps w:val="false"/>
          <w:smallCaps w:val="false"/>
          <w:sz w:val="20"/>
        </w:rPr>
        <w:t>,” and each an “</w:t>
      </w:r>
      <w:r>
        <w:rPr>
          <w:rFonts w:ascii="Times New Roman;Times;Serif" w:hAnsi="Times New Roman;Times;Serif"/>
          <w:b/>
          <w:i w:val="false"/>
          <w:caps w:val="false"/>
          <w:smallCaps w:val="false"/>
          <w:sz w:val="20"/>
        </w:rPr>
        <w:t>Underwriter Indemnified Party</w:t>
      </w:r>
      <w:r>
        <w:rPr>
          <w:rFonts w:ascii="Times New Roman;Times;Serif" w:hAnsi="Times New Roman;Times;Serif"/>
          <w:b w:val="false"/>
          <w:i w:val="false"/>
          <w:caps w:val="false"/>
          <w:smallCaps w:val="false"/>
          <w:sz w:val="20"/>
        </w:rPr>
        <w:t>”), against any and all loss, liability, claim, damage and expense whatsoever (including but not limited to any and all legal or other expenses reasonably incurred in investigating, preparing or defending against any litigation, commenced or threatened, or any claim whatsoever, between any of the Underwriter Indemnified Parties and any third party, or otherwise) to which they or any of them may become subject under the Securities Act, the Exchange Act or any other statute or at common law or otherwise or under the laws of foreign countries, arising out of, relating to, or based upon (i) any untrue statement or alleged untrue statement of a material fact contained in (A) the Registration Statement, the Pricing Disclosure Package, the Preliminary Prospectus, the Prospectus or any Issuer Free Writing Prospectus (as from time to time each may be amended and supplemented); (B) any materials or information provided to investors by, or with the approval of, the Company in connection with the marketing of the Offering, including any “road show” or investor presentations made to investors by the Company (whether in person or electronically); (C) any application or other document or written communication (in this Section 5, collectively called “</w:t>
      </w:r>
      <w:r>
        <w:rPr>
          <w:rFonts w:ascii="Times New Roman;Times;Serif" w:hAnsi="Times New Roman;Times;Serif"/>
          <w:b/>
          <w:i w:val="false"/>
          <w:caps w:val="false"/>
          <w:smallCaps w:val="false"/>
          <w:sz w:val="20"/>
        </w:rPr>
        <w:t>application</w:t>
      </w:r>
      <w:r>
        <w:rPr>
          <w:rFonts w:ascii="Times New Roman;Times;Serif" w:hAnsi="Times New Roman;Times;Serif"/>
          <w:b w:val="false"/>
          <w:i w:val="false"/>
          <w:caps w:val="false"/>
          <w:smallCaps w:val="false"/>
          <w:sz w:val="20"/>
        </w:rPr>
        <w:t>”) executed by the Company or based upon written information furnished by the Company in any jurisdiction in order to qualify the Public Securities under the securities laws thereof or filed with the Commission, any state securities commission or agency, the Exchange or any other national securities exchange; or (D)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the Underwriters’ Information; (ii) any regulatory inquiry or investigation commenced or threatened by any federal, state or local regulatory body, including, without limitation, with respect to (A) the transactions contemplated by this Agreement; or (B) trading in Ordinary Shares and market volatility of such Ordinary Shares; (iii) any inaccuracy in the representations and warranties of the Company contained herein; or (iv) any failure of the Company to perform its covenants and obligations hereunder. With respect to any untrue statement or omission or alleged untrue statement or omission made in the Registration Statement, the Pricing Disclosure Package, the Preliminary Prospectus, the Prospectus or any Issuer Free Writing Prospectus, if any, the indemnity agreement contained in this Section 5.1.1 shall not inure to the benefit of any Underwriter Indemnified Party to the extent that any loss, liability, claim, damage or expense of such Underwriter Indemnified Party results from the fact that a copy of the Prospectus was not given or sent to the person asserting any such loss, liability, claim or damage at or prior to the written confirmation of sale of the Public Securities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Section 3.4 hereof.</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Procedure</w:t>
      </w:r>
      <w:r>
        <w:rPr>
          <w:rFonts w:ascii="Times New Roman;Times;Serif" w:hAnsi="Times New Roman;Times;Serif"/>
          <w:b w:val="false"/>
          <w:i w:val="false"/>
          <w:caps w:val="false"/>
          <w:smallCaps w:val="false"/>
          <w:sz w:val="20"/>
        </w:rPr>
        <w:t>. If any action is brought against an Underwriter Indemnified Party in respect of which indemnity may be sought against the Company pursuant to Section 5.1.1, such Underwriter Indemnified Party shall promptly notify the Company in writing of the institution of such action and the Company shall be entitled to participate therein and, to the extent that it wishes, jointly with any other similarly notified indemnifying party, to assume the defense of such action, including the employment and fees of legal counsel (subject to the reasonable approval of such Underwriter Indemnified Party) and payment of actual expenses. Such Underwriter Indemnified Party shall have the right to employ its or their own legal counsel in any such case, but the fees and expenses of such counsel shall be at the expense of such Underwriter Indemnified Party unless (i) the employment of such counsel at the expense of the Company shall have been authorized in writing by the Company in connection with the defense of such action; (ii) the Company shall not have employed legal counsel to have charge of the defense of such action; or (iii) such indemnified party or parties shall have been advised by its legal counsel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the Underwriter Indemnified Parties who are party to such action (in addition to local counsel) shall be borne by the Company. Notwithstanding anything to the contrary contained herein, if any Underwriter Indemnified Party shall assume the defense of such action as provided above, the Company shall have the right to approve the terms of any settlement of such action, which approval shall not be unreasonably withheld, conditioned or delayed. No indemnifying party shall, without the prior written consent of the indemnified parties, effect any settlement or compromise of, or consent to the entry of judgment with respect to, any pending or threatened claim, investigation, action or proceeding in respect of which indemnity or contribution may be or could have been sought by an indemnified party under this Section 5 hereof (whether or not the indemnified party is an actual or potential party thereto), unless (i) such settlement, compromise or judgment (A) includes an unconditional release of the indemnified party from all liability arising out of such claim, investigation, action or proceeding and (B) does not include a statement as to or an admission of fault, culpability or any failure to act, by or on behalf of the indemnified party, and (ii) the indemnifying party confirms in writing its indemnification obligations hereunder with respect to such settlement, compromise or judgment.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Indemnification of the Company</w:t>
      </w:r>
      <w:r>
        <w:rPr>
          <w:rFonts w:ascii="Times New Roman;Times;Serif" w:hAnsi="Times New Roman;Times;Serif"/>
          <w:b w:val="false"/>
          <w:i w:val="false"/>
          <w:caps w:val="false"/>
          <w:smallCaps w:val="false"/>
          <w:sz w:val="20"/>
        </w:rPr>
        <w:t>. Each Underwriter, severally and not jointly, shall indemnify and hold harmless the Company, its directors, its officers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such losses, liabilities, claims, damages and expenses (or actions in respect thereof) which arise out of or are based upon untrue statements or omissions made in the Registration Statement, any Preliminary Prospectus, the Pricing Disclosure Package or Prospectus or any amendment or supplement thereto or in any application, in reliance upon, and in strict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Section 5.1.2.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Public Securities or in connection with the Registration Statement, the Pricing Disclosure Package, the Prospectus or any Issuer Free Writing Prospectus.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5.3.1. </w:t>
      </w:r>
      <w:r>
        <w:rPr>
          <w:rFonts w:ascii="Times New Roman;Times;Serif" w:hAnsi="Times New Roman;Times;Serif"/>
          <w:b w:val="false"/>
          <w:i w:val="false"/>
          <w:caps w:val="false"/>
          <w:smallCaps w:val="false"/>
          <w:sz w:val="20"/>
          <w:u w:val="single"/>
        </w:rPr>
        <w:t>Contribution R</w:t>
      </w:r>
      <w:r>
        <w:rPr>
          <w:rFonts w:ascii="Times New Roman;Times;Serif" w:hAnsi="Times New Roman;Times;Serif"/>
          <w:b w:val="false"/>
          <w:i w:val="false"/>
          <w:caps w:val="false"/>
          <w:smallCaps w:val="false"/>
          <w:sz w:val="20"/>
        </w:rPr>
        <w:t>ig</w:t>
      </w:r>
      <w:r>
        <w:rPr>
          <w:rFonts w:ascii="Times New Roman;Times;Serif" w:hAnsi="Times New Roman;Times;Serif"/>
          <w:b w:val="false"/>
          <w:i w:val="false"/>
          <w:caps w:val="false"/>
          <w:smallCaps w:val="false"/>
          <w:sz w:val="20"/>
          <w:u w:val="single"/>
        </w:rPr>
        <w:t>hts</w:t>
      </w:r>
      <w:r>
        <w:rPr>
          <w:rFonts w:ascii="Times New Roman;Times;Serif" w:hAnsi="Times New Roman;Times;Serif"/>
          <w:b w:val="false"/>
          <w:i w:val="false"/>
          <w:caps w:val="false"/>
          <w:smallCaps w:val="false"/>
          <w:sz w:val="20"/>
        </w:rPr>
        <w:t>. If the indemnification provided for in this Section 5 shall for any reason be unavailable to or insufficient to hold harmless an indemnified party under Section 5.1 or 5.2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each of the Underwriters, on the other hand, from the Offering;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of the Ordinary Shares shall be deemed to be in the same proportion as the total proceeds from the Offering purchased under this Agreement (before deducting expenses) received by the Company bear to the total underwriting discount and commissions received by the Underwriters in connection with the Offering, in each case as set forth in the table on the cover page of the Prospectus. The relative fault of the Company,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on the one hand, or the Underwriters, on the other, the intent of the parties and their relative knowledge, access to information and opportunity to correct or prevent such untrue statement, omission, act or failure to act; provided that the parties hereto agree that the written information furnished to the Company through the Representative by or on behalf of any Underwriter for use in any Preliminary Prospectus, any Registration Statement or the Prospectus, or in any amendment or supplement thereto, consists solely of the Underwriters’ Information. The Company and the Underwriters agree that it would not be just and equitable if contributions pursuant to this Section 5.3.1 were to be determined by pro rata allocation or by any other method of allocation that does not take into account the equitable considerations referred to herein. The amount paid or payable by an indemnified party as a result of the loss, claim, damage, expense, liability, action, investigation or proceeding referred to above in this Section 5.3.1 shall be deemed to include, for purposes of this Section 5.3.1, any legal or other expenses reasonably incurred by such indemnified party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5.3.1 no Underwriter shall be required to contribute any amount in excess of the total discount and commission received by such Underwriter in connection with the Offering. No person guilty of fraudulent misrepresentation (within the meaning of Section 11(f) of the Securities Act) shall be entitled to contribution from any person who was not guilty of such fraudulent misrepresentation.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5.3.2. </w:t>
      </w:r>
      <w:r>
        <w:rPr>
          <w:rFonts w:ascii="Times New Roman;Times;Serif" w:hAnsi="Times New Roman;Times;Serif"/>
          <w:b w:val="false"/>
          <w:i w:val="false"/>
          <w:caps w:val="false"/>
          <w:smallCaps w:val="false"/>
          <w:sz w:val="20"/>
          <w:u w:val="single"/>
        </w:rPr>
        <w:t>Contribution Procedure</w:t>
      </w:r>
      <w:r>
        <w:rPr>
          <w:rFonts w:ascii="Times New Roman;Times;Serif" w:hAnsi="Times New Roman;Times;Serif"/>
          <w:b w:val="false"/>
          <w:i w:val="false"/>
          <w:caps w:val="false"/>
          <w:smallCaps w:val="false"/>
          <w:sz w:val="20"/>
        </w:rPr>
        <w:t>.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Times New Roman;Times;Serif" w:hAnsi="Times New Roman;Times;Serif"/>
          <w:b/>
          <w:i w:val="false"/>
          <w:caps w:val="false"/>
          <w:smallCaps w:val="false"/>
          <w:sz w:val="20"/>
        </w:rPr>
        <w:t>contributing party</w:t>
      </w:r>
      <w:r>
        <w:rPr>
          <w:rFonts w:ascii="Times New Roman;Times;Serif" w:hAnsi="Times New Roman;Times;Serif"/>
          <w:b w:val="false"/>
          <w:i w:val="false"/>
          <w:caps w:val="false"/>
          <w:smallCaps w:val="false"/>
          <w:sz w:val="20"/>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5.3.2 are intended to supersede, to the extent permitted by law, any right to contribution under the Securities Act, the Exchange Act or otherwise available. The Underwriters’ obligations to contribute as provided in this Section 5.3 are several and in proportion to their respective underwriting obligation, and not joint.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Default by an Underwriter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Default Not Exceedin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10% of Firm Shares or Option Shares</w:t>
      </w:r>
      <w:r>
        <w:rPr>
          <w:rFonts w:ascii="Times New Roman;Times;Serif" w:hAnsi="Times New Roman;Times;Serif"/>
          <w:b w:val="false"/>
          <w:i w:val="false"/>
          <w:caps w:val="false"/>
          <w:smallCaps w:val="false"/>
          <w:sz w:val="20"/>
        </w:rPr>
        <w:t>. If any Underwriter or Underwriters shall default in its or their obligations to 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Default Exceedin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10% of Firm Shares or Option Shares</w:t>
      </w:r>
      <w:r>
        <w:rPr>
          <w:rFonts w:ascii="Times New Roman;Times;Serif" w:hAnsi="Times New Roman;Times;Serif"/>
          <w:b w:val="false"/>
          <w:i w:val="false"/>
          <w:caps w:val="false"/>
          <w:smallCaps w:val="false"/>
          <w:sz w:val="20"/>
        </w:rPr>
        <w:t>. In the event that the default addressed in Section 6.1 relates to more than 10% of the Firm Shares or Option Shares, the Representative may in its discretion arrange for itself or for another party or parties to purchase such Firm Shares or Option Shares to which such default relates on the terms contained herein. If, within one (1) Business Day after such default relating to more than 10% of the Firm Shares or Option Shares, the Representative does not arrange for the purchase of such Firm Shares or Option Shares, then the Company shall be entitled to a further period of one (1) Business Day within which to procure another party or parties satisfactory to the Representative to purchase said Firm Shares or Option Shares on such terms. In the event that neither the Representative nor the Company arrange for the purchase of the Firm Shares or Option Shares to which a default relates as provided in this Section 6, this Agreement will automatically be terminated by the Representative or the Company without liability on the part of the Company (except as provided in Sections 3.10 and 8.3 hereof with respect to the Underwriter’s expenses), or the several Underwriters; provided, however, that if such default occurs with respect to the Option Shares, this Agreement will not terminate as to the Firm Shares; and provided, further, that nothing herein shall relieve a defaulting Underwriter of its liability, if any, to the other Underwriters and to the Company for damages occasioned by its default hereunder. For the avoidance of doubt, nothing contained in this Section 6.2 shall excuse a default by the Representative (in its capacity as an Underwriter) in its obligations to purchase the Firm Shares or the Option Shares, if the Over-Allotment Option is exercised hereunder.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Postponement of Closing Date</w:t>
      </w:r>
      <w:r>
        <w:rPr>
          <w:rFonts w:ascii="Times New Roman;Times;Serif" w:hAnsi="Times New Roman;Times;Serif"/>
          <w:b w:val="false"/>
          <w:i w:val="false"/>
          <w:caps w:val="false"/>
          <w:smallCaps w:val="false"/>
          <w:sz w:val="20"/>
        </w:rPr>
        <w:t>. In the event that the Firm Shares or Option Shares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to the Underwriters may thereby be made necessary. The term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as used in this Agreement shall include any party substituted under this Section 6 with like effect as if it had originally been a party to this Agreement with respect to such Firm Shares or Option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Additional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Board Composition and Board Designations</w:t>
      </w:r>
      <w:r>
        <w:rPr>
          <w:rFonts w:ascii="Times New Roman;Times;Serif" w:hAnsi="Times New Roman;Times;Serif"/>
          <w:b w:val="false"/>
          <w:i w:val="false"/>
          <w:caps w:val="false"/>
          <w:smallCaps w:val="false"/>
          <w:sz w:val="20"/>
        </w:rPr>
        <w:t>. The Company shall ensure that: (i) the qualifications of the persons serving as members of the Board of Directors and the overall composition of the Board of Directors comply with the Sarbanes-Oxley Act, the Exchange Act and the listing rules of the Exchange or any other national securities exchange, as the case may be, in the event the Company seeks to have its Public Securities listed on another exchange or quoted on an automated quotation system; and (ii) if applicable, at least one member of the Audit Committee of the Board of Directors qualifies as an “audit committee financial expert,” as such term is defined under Regulation S-K and the listing rules of the Exchange.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Prohibition on Press Releases and Public Announcements</w:t>
      </w:r>
      <w:r>
        <w:rPr>
          <w:rFonts w:ascii="Times New Roman;Times;Serif" w:hAnsi="Times New Roman;Times;Serif"/>
          <w:b w:val="false"/>
          <w:i w:val="false"/>
          <w:caps w:val="false"/>
          <w:smallCaps w:val="false"/>
          <w:sz w:val="20"/>
        </w:rPr>
        <w:t>. The Company shall not issue press releases or engage in any other publicity, without the Representative’s prior written consent, for a period ending at 5:00 p.m., New York City, New York time, on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Business Day following the fortieth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after the Closing Date, other than normal and customary releases issued in the ordinary course of the Company’s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Effective Date of this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 and Termination Thereof</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Agreement shall become effective when both the Company and the Representative have executed the same and delivered counterparts of such signatures to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Representative shall have the right to terminate this Agreement at any time prior to any Closing Date: (i) if any domestic or international event or act or occurrence has materially disrupted, or in the Representative’s reasonable opinion will in the immediate future materially disrupt, general securities markets in the United States; or (ii) if trading on the Exchange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escalation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a Material Adverse Change, or an adverse material change in general market conditions as in the Representative’s judgment would make it impracticable to proceed with the Offering, sale and/or delivery of the Public Securities or to enforce contracts made by the Underwriters for the sale of the Public Securities.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Notwithstanding anything to the contrary in this Agreement, except in the case of a default by the Underwriters pursuant to Section 6.2 above, in the event that this Agreement shall not be carried out for any reason whatsoever, within the time specified herein or any extensions thereof pursuant to the terms herein, the Company shall be obligated to pay to the Underwriters their actual accountable expenses related to the transactions contemplated herein then incurred, up to $250,000, provided, however, that such expense cap in no way limits or impairs the indemnification and contribution provisions of this Agreement. Such expenses amount shall cover the Underwriters’ accountable expenses for the Offering, including reasonable out-of-pocket expenses (including, but not limited to, travel communication, third party and legal counsel expenses) in connection with the performance of its services hereunder, regardless of whether the Offering is consummated and the Closing occurs.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Survival of Indemnification</w:t>
      </w:r>
      <w:r>
        <w:rPr>
          <w:rFonts w:ascii="Times New Roman;Times;Serif" w:hAnsi="Times New Roman;Times;Serif"/>
          <w:b w:val="false"/>
          <w:i w:val="false"/>
          <w:caps w:val="false"/>
          <w:smallCaps w:val="false"/>
          <w:sz w:val="20"/>
        </w:rPr>
        <w:t>. Notwithstanding any contrary provision contained in this Agreement, any election hereunder or any termination of this Agreement, and whether or not this Agreement is otherwise carried out, the provisions of Section 5 shall remain in full force and effect and shall not be in any way affected by, such election or termination or failure to carry out the terms of this Agreement or any part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Representations, Warranties, Agreements to Survive</w:t>
      </w:r>
      <w:r>
        <w:rPr>
          <w:rFonts w:ascii="Times New Roman;Times;Serif" w:hAnsi="Times New Roman;Times;Serif"/>
          <w:b w:val="false"/>
          <w:i w:val="false"/>
          <w:caps w:val="false"/>
          <w:smallCaps w:val="false"/>
          <w:sz w:val="20"/>
        </w:rPr>
        <w:t>. All representations, warranties and agreements by the Company contained in this Agreement (except for Section 6.2) or in 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Public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communications hereunder, except as herein otherwise specifically provided, shall be in writing and shall be mailed (registered or certified mail, return receipt requested), personally delivered or sent by electronic mail and confirmed and shall be deemed given when so delivered or emailed and confirmed or if mailed, two (2) days after such mailing.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Representative: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Roberts &amp; Ryan, Inc.</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Broadway, Suite 610</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Ken Merlo, General Counsel</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Telephone No.: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Loeb &amp; Loeb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10100 Santa Monica Blvd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 Angeles, CA 90067</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Lawrence S. Venick</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Avenida Paulista, 1765, 7th Floor</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 São Paulo, 0311-930, Brazil</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Francesco Scolaro</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No.: +55 (84) 99173-2523</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Gibson, Dunn &amp; Crutcher LLP</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 Park Avenue</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10166</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D. Giannattasio</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72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Headin</w:t>
      </w:r>
      <w:r>
        <w:rPr>
          <w:rFonts w:ascii="Times New Roman;Times;Serif" w:hAnsi="Times New Roman;Times;Serif"/>
          <w:b w:val="false"/>
          <w:i w:val="false"/>
          <w:caps w:val="false"/>
          <w:smallCaps w:val="false"/>
          <w:sz w:val="20"/>
        </w:rPr>
        <w:t>gs. The headings contained herein are for the sole purpose of convenience of reference and shall not in any way limit or affect the meaning or interpretation of any of the terms or provisions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9.3.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only be amended by a written instrument executed by each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9.4. </w:t>
      </w:r>
      <w:r>
        <w:rPr>
          <w:rFonts w:ascii="Times New Roman;Times;Serif" w:hAnsi="Times New Roman;Times;Serif"/>
          <w:b w:val="false"/>
          <w:i w:val="false"/>
          <w:caps w:val="false"/>
          <w:smallCaps w:val="false"/>
          <w:sz w:val="20"/>
          <w:u w:val="single"/>
        </w:rPr>
        <w:t>Entire A</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reement</w:t>
      </w:r>
      <w:r>
        <w:rPr>
          <w:rFonts w:ascii="Times New Roman;Times;Serif" w:hAnsi="Times New Roman;Times;Serif"/>
          <w:b w:val="false"/>
          <w:i w:val="false"/>
          <w:caps w:val="false"/>
          <w:smallCaps w:val="false"/>
          <w:sz w:val="20"/>
        </w:rPr>
        <w:t>. This Agreement (together with the other agreements and documents being delivered pursuant to or in connection with this Agreement) constitutes the entire agreement of the parties hereto with respect to the subject matter hereof and thereof, supersedes all prior agreements and understandings of the parties, oral and written, with respect to the subject matter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9.5. </w:t>
      </w:r>
      <w:r>
        <w:rPr>
          <w:rFonts w:ascii="Times New Roman;Times;Serif" w:hAnsi="Times New Roman;Times;Serif"/>
          <w:b w:val="false"/>
          <w:i w:val="false"/>
          <w:caps w:val="false"/>
          <w:smallCaps w:val="false"/>
          <w:sz w:val="20"/>
          <w:u w:val="single"/>
        </w:rPr>
        <w:t>Bindin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Effect</w:t>
      </w:r>
      <w:r>
        <w:rPr>
          <w:rFonts w:ascii="Times New Roman;Times;Serif" w:hAnsi="Times New Roman;Times;Serif"/>
          <w:b w:val="false"/>
          <w:i w:val="false"/>
          <w:caps w:val="false"/>
          <w:smallCaps w:val="false"/>
          <w:sz w:val="20"/>
        </w:rPr>
        <w:t>. This Agreement shall inure solely to the benefit of the parties hereto and the indemnified parties referred to in Section 5 and their respective successors, heirs and assigns, and shall be binding upon each of them,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9.6. </w:t>
      </w:r>
      <w:r>
        <w:rPr>
          <w:rFonts w:ascii="Times New Roman;Times;Serif" w:hAnsi="Times New Roman;Times;Serif"/>
          <w:b w:val="false"/>
          <w:i w:val="false"/>
          <w:caps w:val="false"/>
          <w:smallCaps w:val="false"/>
          <w:sz w:val="20"/>
          <w:u w:val="single"/>
        </w:rPr>
        <w:t>Governin</w:t>
      </w: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Law; Consent to Jurisdiction; Trial by Jury</w:t>
      </w:r>
      <w:r>
        <w:rPr>
          <w:rFonts w:ascii="Times New Roman;Times;Serif" w:hAnsi="Times New Roman;Times;Serif"/>
          <w:b w:val="false"/>
          <w:i w:val="false"/>
          <w:caps w:val="false"/>
          <w:smallCaps w:val="false"/>
          <w:sz w:val="20"/>
        </w:rPr>
        <w:t>. This Agreement shall be governed by and construed and enforced in accordance with the law of the State of New York. The Company hereby agrees that any action, proceeding or claim against it arising out of, or relating in any way to this Agreement shall be brought and enforced in the Supreme Court of the State of New York sitting in the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Section 9.1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9.7.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9.8. </w:t>
      </w:r>
      <w:r>
        <w:rPr>
          <w:rFonts w:ascii="Times New Roman;Times;Serif" w:hAnsi="Times New Roman;Times;Serif"/>
          <w:b w:val="false"/>
          <w:i w:val="false"/>
          <w:caps w:val="false"/>
          <w:smallCaps w:val="false"/>
          <w:sz w:val="20"/>
          <w:u w:val="single"/>
        </w:rPr>
        <w:t>Waiver, etc</w:t>
      </w:r>
      <w:r>
        <w:rPr>
          <w:rFonts w:ascii="Times New Roman;Times;Serif" w:hAnsi="Times New Roman;Times;Serif"/>
          <w:b w:val="false"/>
          <w:i w:val="false"/>
          <w:caps w:val="false"/>
          <w:smallCaps w:val="false"/>
          <w:sz w:val="20"/>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 compliance or non-fulfillment.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Severability. Each provision of this Agreement is separable from every other provision of this Agreement. If any provision of this Agreement is found or held to be invalid, illegal or unenforceable, in whole or in part, by a court of competent jurisdiction, then (i) such provision will be deemed amended to conform to applicable laws so as to be valid, legal and enforceable to the fullest possible extent; (ii) the invalidity, illegality or unenforceability of such provision will not affect the validity, legality or enforceability of such provision under any other circumstances or in any other jurisdiction; and (iii) the invalidity, illegality or unenforceability of such provision will not affect the validity, legality or enforceability of the remainder of such provision or the validity , legality or enforceability of any other provision of this Agreement.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the understanding between the Underwriters and the Company, please so indicate in the space provided below for that purpose, whereupon this letter shall constitute a binding agreement between us.</w:t>
      </w:r>
    </w:p>
    <w:p>
      <w:pPr>
        <w:pStyle w:val="TextBody"/>
        <w:bidi w:val="0"/>
        <w:spacing w:before="0" w:after="0"/>
        <w:ind w:left="0" w:right="0" w:firstLine="720"/>
        <w:jc w:val="left"/>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560"/>
        <w:gridCol w:w="2990"/>
        <w:gridCol w:w="75"/>
      </w:tblGrid>
      <w:tr>
        <w:trPr/>
        <w:tc>
          <w:tcPr>
            <w:tcW w:w="355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5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Francesco Scolaro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Confirmed as of the date first written above, on behalf of itself and as Representative of the several Underwriters named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firstLine="72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560"/>
        <w:gridCol w:w="2240"/>
        <w:gridCol w:w="75"/>
      </w:tblGrid>
      <w:tr>
        <w:trPr/>
        <w:tc>
          <w:tcPr>
            <w:tcW w:w="28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Roberts &amp; Ryan,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22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Edward J. D’Alessandro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Edward J. D’Alessandro</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Underwriting Agreement – IMC Rare Earths Ltd]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EXHIBITS AND SCHEDULES TO IMC RARE EARTHS LTD – UNDERWRITING AGREEMENT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50"/>
        <w:gridCol w:w="60"/>
        <w:gridCol w:w="8595"/>
      </w:tblGrid>
      <w:tr>
        <w:trPr/>
        <w:tc>
          <w:tcPr>
            <w:tcW w:w="15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Press Release</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Underwriters</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Information</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General Use Free Writing</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Lock-Up Parties</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Selling Shareholders Excluded from Lock-Up Agreements</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Subsidiaries</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List of Company’s Excluded Lock-Up Securities</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First Refusal Granted by the Company to Other Parties</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Agreement, dated December 1, 2025, by and between IMC Rare Earths Ltd and St. James Place Limited</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Agreement, dated May 15, 2026, by and between IMC Rare Earths Ltd and Americas Rare Earths Holdings Ltd</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 Amendment, dated May 8, 2026, by and between IMC Rare Earths Ltd and St. James Place Limited</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 Second Amendment, dated June 3, 2026, by and between IMC Rare Earths Ltd and St. James Place Limited</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
              <w:t>SJP Warrant Third Amendment, dated June 26, 2026, by and between IMC Rare Earths Ltd and St. James Place Limited</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Warrant Agreement, dated June 26, 2026, by and between IMC Rare Earths Ltd and St. James Place Limited</w:t>
            </w:r>
          </w:p>
        </w:tc>
      </w:tr>
      <w:tr>
        <w:trPr/>
        <w:tc>
          <w:tcPr>
            <w:tcW w:w="15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Agreement, dated December 1, 2025, by and between IMC Rare Earths Ltd and Mineradora Havilah Importação e Exportação Ltda.</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center"/>
        <w:rPr>
          <w:caps w:val="false"/>
          <w:smallCaps w:val="false"/>
        </w:rPr>
      </w:pPr>
      <w:r>
        <w:rPr>
          <w:caps w:val="false"/>
          <w:smallCaps w:val="false"/>
        </w:rPr>
        <w:t> </w:t>
      </w:r>
    </w:p>
    <w:tbl>
      <w:tblPr>
        <w:tblW w:w="3624" w:type="dxa"/>
        <w:jc w:val="left"/>
        <w:tblInd w:w="0" w:type="dxa"/>
        <w:tblLayout w:type="fixed"/>
        <w:tblCellMar>
          <w:top w:w="0" w:type="dxa"/>
          <w:left w:w="0" w:type="dxa"/>
          <w:bottom w:w="28" w:type="dxa"/>
          <w:right w:w="0" w:type="dxa"/>
        </w:tblCellMar>
      </w:tblPr>
      <w:tblGrid>
        <w:gridCol w:w="2210"/>
        <w:gridCol w:w="60"/>
        <w:gridCol w:w="73"/>
        <w:gridCol w:w="1206"/>
        <w:gridCol w:w="75"/>
      </w:tblGrid>
      <w:tr>
        <w:trPr/>
        <w:tc>
          <w:tcPr>
            <w:tcW w:w="2210" w:type="dxa"/>
            <w:tcBorders>
              <w:bottom w:val="single" w:sz="8" w:space="0" w:color="000000"/>
            </w:tcBorders>
            <w:vAlign w:val="center"/>
          </w:tcPr>
          <w:p>
            <w:pPr>
              <w:pStyle w:val="TableContents"/>
              <w:bidi w:val="0"/>
              <w:spacing w:before="0" w:after="283"/>
              <w:jc w:val="left"/>
              <w:rPr>
                <w:b/>
              </w:rPr>
            </w:pPr>
            <w:r>
              <w:rPr>
                <w:b/>
              </w:rPr>
              <w:t>Underwriter</w:t>
            </w:r>
          </w:p>
        </w:tc>
        <w:tc>
          <w:tcPr>
            <w:tcW w:w="60" w:type="dxa"/>
            <w:tcBorders/>
            <w:tcMar>
              <w:bottom w:w="0" w:type="dxa"/>
            </w:tcMar>
            <w:vAlign w:val="center"/>
          </w:tcPr>
          <w:p>
            <w:pPr>
              <w:pStyle w:val="TableContents"/>
              <w:bidi w:val="0"/>
              <w:spacing w:before="0" w:after="283"/>
              <w:jc w:val="left"/>
              <w:rPr/>
            </w:pPr>
            <w:r>
              <w:rPr/>
              <w:t> </w:t>
            </w:r>
          </w:p>
        </w:tc>
        <w:tc>
          <w:tcPr>
            <w:tcW w:w="1279" w:type="dxa"/>
            <w:gridSpan w:val="2"/>
            <w:tcBorders>
              <w:bottom w:val="single" w:sz="8" w:space="0" w:color="000000"/>
            </w:tcBorders>
            <w:vAlign w:val="center"/>
          </w:tcPr>
          <w:p>
            <w:pPr>
              <w:pStyle w:val="TableContents"/>
              <w:bidi w:val="0"/>
              <w:spacing w:before="0" w:after="283"/>
              <w:jc w:val="center"/>
              <w:rPr>
                <w:b/>
              </w:rPr>
            </w:pPr>
            <w:r>
              <w:rPr>
                <w:b/>
              </w:rPr>
              <w:t>Number of</w:t>
              <w:br/>
              <w:t>Firm Shares</w:t>
            </w:r>
          </w:p>
        </w:tc>
        <w:tc>
          <w:tcPr>
            <w:tcW w:w="75" w:type="dxa"/>
            <w:tcBorders/>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left"/>
              <w:rPr/>
            </w:pPr>
            <w:r>
              <w:rPr/>
              <w:t>Roberts &amp; Ryan,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2,000,000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210" w:type="dxa"/>
            <w:tcBorders/>
            <w:shd w:fill="FFFFFF" w:val="clear"/>
            <w:tcMar>
              <w:bottom w:w="0" w:type="dxa"/>
            </w:tcMar>
            <w:vAlign w:val="center"/>
          </w:tcPr>
          <w:p>
            <w:pPr>
              <w:pStyle w:val="TableContents"/>
              <w:bidi w:val="0"/>
              <w:spacing w:before="0" w:after="283"/>
              <w:jc w:val="left"/>
              <w:rPr/>
            </w:pPr>
            <w:r>
              <w:rPr/>
              <w:t>Revere Securities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vAlign w:val="center"/>
          </w:tcPr>
          <w:p>
            <w:pPr>
              <w:pStyle w:val="TableContents"/>
              <w:bidi w:val="0"/>
              <w:spacing w:before="0" w:after="283"/>
              <w:jc w:val="left"/>
              <w:rPr/>
            </w:pPr>
            <w:r>
              <w:rPr/>
              <w:t> </w:t>
            </w:r>
          </w:p>
        </w:tc>
        <w:tc>
          <w:tcPr>
            <w:tcW w:w="1206" w:type="dxa"/>
            <w:tcBorders>
              <w:bottom w:val="single" w:sz="8" w:space="0" w:color="000000"/>
            </w:tcBorders>
            <w:shd w:fill="FFFFFF" w:val="clear"/>
            <w:vAlign w:val="center"/>
          </w:tcPr>
          <w:p>
            <w:pPr>
              <w:pStyle w:val="TableContents"/>
              <w:bidi w:val="0"/>
              <w:spacing w:before="0" w:after="283"/>
              <w:jc w:val="right"/>
              <w:rPr/>
            </w:pPr>
            <w:r>
              <w:rPr/>
              <w:t>2,000,000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210" w:type="dxa"/>
            <w:tcBorders/>
            <w:shd w:fill="CCEEFF" w:val="clear"/>
            <w:tcMar>
              <w:bottom w:w="0" w:type="dxa"/>
            </w:tcMar>
            <w:vAlign w:val="center"/>
          </w:tcPr>
          <w:p>
            <w:pPr>
              <w:pStyle w:val="TableContents"/>
              <w:bidi w:val="0"/>
              <w:spacing w:before="0" w:after="283"/>
              <w:jc w:val="left"/>
              <w:rPr/>
            </w:pPr>
            <w:r>
              <w:rPr/>
              <w:t> </w:t>
            </w:r>
            <w:r>
              <w:rPr>
                <w:rFonts w:ascii="Times New Roman;Times;Serif" w:hAnsi="Times New Roman;Times;Serif"/>
                <w:b/>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1206" w:type="dxa"/>
            <w:tcBorders/>
            <w:shd w:fill="CCEEFF" w:val="clear"/>
            <w:tcMar>
              <w:bottom w:w="0" w:type="dxa"/>
            </w:tcMar>
            <w:vAlign w:val="center"/>
          </w:tcPr>
          <w:p>
            <w:pPr>
              <w:pStyle w:val="TableContents"/>
              <w:bidi w:val="0"/>
              <w:spacing w:before="0" w:after="283"/>
              <w:jc w:val="right"/>
              <w:rPr/>
            </w:pPr>
            <w:r>
              <w:rPr/>
              <w:t>4,000,000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Firm Shares: 4,000,000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Option Shares: 600,000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Firm Share: $5.00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Offering Price per Option Share: $5.00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 per Firm Share: $0.325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 per Option Share: $0.325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to Company per Firm Share (before expenses): $4.675</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to Company per Option Share (before expenses): $4.675</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Issuer General Use Free Writing Prospectuses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Lock-Up Parties</w:t>
      </w:r>
    </w:p>
    <w:p>
      <w:pPr>
        <w:pStyle w:val="TextBody"/>
        <w:bidi w:val="0"/>
        <w:spacing w:before="0" w:after="0"/>
        <w:ind w:left="0" w:right="0" w:hanging="0"/>
        <w:jc w:val="center"/>
        <w:rPr>
          <w:caps w:val="false"/>
          <w:smallCaps w:val="false"/>
        </w:rPr>
      </w:pPr>
      <w:r>
        <w:rPr>
          <w:caps w:val="false"/>
          <w:smallCaps w:val="false"/>
        </w:rPr>
        <w:t> </w:t>
      </w:r>
    </w:p>
    <w:tbl>
      <w:tblPr>
        <w:tblW w:w="4370" w:type="dxa"/>
        <w:jc w:val="left"/>
        <w:tblInd w:w="0" w:type="dxa"/>
        <w:tblLayout w:type="fixed"/>
        <w:tblCellMar>
          <w:top w:w="0" w:type="dxa"/>
          <w:left w:w="0" w:type="dxa"/>
          <w:bottom w:w="28" w:type="dxa"/>
          <w:right w:w="0" w:type="dxa"/>
        </w:tblCellMar>
      </w:tblPr>
      <w:tblGrid>
        <w:gridCol w:w="4370"/>
      </w:tblGrid>
      <w:tr>
        <w:trPr/>
        <w:tc>
          <w:tcPr>
            <w:tcW w:w="437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r>
      <w:tr>
        <w:trPr/>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Mineral Corporation Holdings Ltd</w:t>
            </w:r>
          </w:p>
        </w:tc>
      </w:tr>
      <w:tr>
        <w:trPr/>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Rhino Mining Limited</w:t>
            </w:r>
          </w:p>
        </w:tc>
      </w:tr>
      <w:tr>
        <w:trPr/>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Ltd (except as set forth in Schedule 5)</w:t>
            </w:r>
          </w:p>
        </w:tc>
      </w:tr>
      <w:tr>
        <w:trPr/>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Francesco Scolaro</w:t>
            </w:r>
          </w:p>
        </w:tc>
      </w:tr>
      <w:tr>
        <w:trPr/>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R. Wilson</w:t>
            </w:r>
          </w:p>
        </w:tc>
      </w:tr>
      <w:tr>
        <w:trPr/>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Simon Rollason</w:t>
            </w:r>
          </w:p>
        </w:tc>
      </w:tr>
      <w:tr>
        <w:trPr/>
        <w:tc>
          <w:tcPr>
            <w:tcW w:w="437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Peter Roy Siegfried</w:t>
            </w:r>
          </w:p>
        </w:tc>
      </w:tr>
      <w:tr>
        <w:trPr/>
        <w:tc>
          <w:tcPr>
            <w:tcW w:w="437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Stanley Veliotis</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Selling Shareholders Excluded from Lock-Up Agreements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99"/>
        <w:gridCol w:w="60"/>
        <w:gridCol w:w="2925"/>
        <w:gridCol w:w="60"/>
        <w:gridCol w:w="6061"/>
      </w:tblGrid>
      <w:tr>
        <w:trPr/>
        <w:tc>
          <w:tcPr>
            <w:tcW w:w="1099"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6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Types of Securities Held by Such Individual/Entity Not Subject to Insider Lock-Up Agreement and Exceptions</w:t>
            </w:r>
          </w:p>
        </w:tc>
      </w:tr>
      <w:tr>
        <w:trPr/>
        <w:tc>
          <w:tcPr>
            <w:tcW w:w="1099"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 James Place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9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Sussex House, Suite 200, 128 Elgin Avenue, George Town,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Grand Cayman KY1-1206, Cayman Islands</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6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6,100,000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w:t>
      </w:r>
    </w:p>
    <w:p>
      <w:pPr>
        <w:pStyle w:val="TextBody"/>
        <w:bidi w:val="0"/>
        <w:spacing w:before="0" w:after="0"/>
        <w:ind w:left="0" w:right="0" w:hanging="0"/>
        <w:jc w:val="center"/>
        <w:rPr>
          <w:caps w:val="false"/>
          <w:smallCaps w:val="false"/>
        </w:rPr>
      </w:pPr>
      <w:r>
        <w:rPr>
          <w:caps w:val="false"/>
          <w:smallCaps w:val="false"/>
        </w:rPr>
        <w:t> </w:t>
      </w:r>
    </w:p>
    <w:tbl>
      <w:tblPr>
        <w:tblW w:w="7360" w:type="dxa"/>
        <w:jc w:val="left"/>
        <w:tblInd w:w="0" w:type="dxa"/>
        <w:tblLayout w:type="fixed"/>
        <w:tblCellMar>
          <w:top w:w="0" w:type="dxa"/>
          <w:left w:w="0" w:type="dxa"/>
          <w:bottom w:w="28" w:type="dxa"/>
          <w:right w:w="0" w:type="dxa"/>
        </w:tblCellMar>
      </w:tblPr>
      <w:tblGrid>
        <w:gridCol w:w="3365"/>
        <w:gridCol w:w="60"/>
        <w:gridCol w:w="3935"/>
      </w:tblGrid>
      <w:tr>
        <w:trPr/>
        <w:tc>
          <w:tcPr>
            <w:tcW w:w="33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Subsidiaries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tc>
      </w:tr>
      <w:tr>
        <w:trPr/>
        <w:tc>
          <w:tcPr>
            <w:tcW w:w="33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Saint Vincent and the Grenadines </w:t>
            </w:r>
          </w:p>
        </w:tc>
      </w:tr>
      <w:tr>
        <w:trPr/>
        <w:tc>
          <w:tcPr>
            <w:tcW w:w="3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Participacoes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6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Niobium Brazil Importacao e Exportacao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r>
        <w:trPr/>
        <w:tc>
          <w:tcPr>
            <w:tcW w:w="336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Ionic Clays Brazil Ltda</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3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Brazil</w:t>
            </w:r>
          </w:p>
        </w:tc>
      </w:tr>
    </w:tbl>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Company’s Excluded Lock-Up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846"/>
        <w:gridCol w:w="60"/>
        <w:gridCol w:w="3225"/>
        <w:gridCol w:w="60"/>
        <w:gridCol w:w="1937"/>
        <w:gridCol w:w="77"/>
      </w:tblGrid>
      <w:tr>
        <w:trPr/>
        <w:tc>
          <w:tcPr>
            <w:tcW w:w="4846"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Type of Securities and Underlying Ordinary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2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Relevant Agreement or Documents In Connection with the Issuance of Such Securities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 in the Registration Statement</w:t>
            </w:r>
          </w:p>
        </w:tc>
        <w:tc>
          <w:tcPr>
            <w:tcW w:w="77"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including a minimum of 10,000,000 underlying Ordinary Shares, issued to Mineradora Havilah Importação e Exportação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Royalty Option Agreement with Mineradora Havilah Importação e Exportação Ltda.</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4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Offtake Warrants, including 20,222,000 underlying Ordinary Shares, issued to Americas Rare Earths Holdings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Agreement with Americas Rare Earths Holdings Ltd</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77"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84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SJP Warrants, including 22,137,803 underlying Ordinary Shares, issued to St. James Place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2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Agreement with St. James Place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3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1.6, 1.8, 1.9, 1.10, 1.11</w:t>
            </w:r>
          </w:p>
        </w:tc>
        <w:tc>
          <w:tcPr>
            <w:tcW w:w="77"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Roberts &amp; Ryan,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 Broadway, Suite 610</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Ken Merlo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being delivered to Roberts &amp; Ryan, Inc. (the “</w:t>
      </w:r>
      <w:r>
        <w:rPr>
          <w:rFonts w:ascii="Times New Roman;Times;Serif" w:hAnsi="Times New Roman;Times;Serif"/>
          <w:b/>
          <w:i w:val="false"/>
          <w:caps w:val="false"/>
          <w:smallCaps w:val="false"/>
          <w:sz w:val="20"/>
        </w:rPr>
        <w:t>Underwriter</w:t>
      </w:r>
      <w:r>
        <w:rPr>
          <w:rFonts w:ascii="Times New Roman;Times;Serif" w:hAnsi="Times New Roman;Times;Serif"/>
          <w:b w:val="false"/>
          <w:i w:val="false"/>
          <w:caps w:val="false"/>
          <w:smallCaps w:val="false"/>
          <w:sz w:val="20"/>
        </w:rPr>
        <w:t>”) in connection with the proposed Underwriting Agreement (the “</w:t>
      </w:r>
      <w:r>
        <w:rPr>
          <w:rFonts w:ascii="Times New Roman;Times;Serif" w:hAnsi="Times New Roman;Times;Serif"/>
          <w:b/>
          <w:i w:val="false"/>
          <w:caps w:val="false"/>
          <w:smallCaps w:val="false"/>
          <w:sz w:val="20"/>
        </w:rPr>
        <w:t>Underwriting Agreement</w:t>
      </w:r>
      <w:r>
        <w:rPr>
          <w:rFonts w:ascii="Times New Roman;Times;Serif" w:hAnsi="Times New Roman;Times;Serif"/>
          <w:b w:val="false"/>
          <w:i w:val="false"/>
          <w:caps w:val="false"/>
          <w:smallCaps w:val="false"/>
          <w:sz w:val="20"/>
        </w:rPr>
        <w:t>”) between IMC Rare Earths Ltd, a holding company incorporated in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Underwriter, relating to the proposed public offering (the “</w:t>
      </w:r>
      <w:r>
        <w:rPr>
          <w:rFonts w:ascii="Times New Roman;Times;Serif" w:hAnsi="Times New Roman;Times;Serif"/>
          <w:b/>
          <w:i w:val="false"/>
          <w:caps w:val="false"/>
          <w:smallCaps w:val="false"/>
          <w:sz w:val="20"/>
        </w:rPr>
        <w:t>Offering</w:t>
      </w:r>
      <w:r>
        <w:rPr>
          <w:rFonts w:ascii="Times New Roman;Times;Serif" w:hAnsi="Times New Roman;Times;Serif"/>
          <w:b w:val="false"/>
          <w:i w:val="false"/>
          <w:caps w:val="false"/>
          <w:smallCaps w:val="false"/>
          <w:sz w:val="20"/>
        </w:rPr>
        <w:t>”) of Ordinary Shares, par value $0.0001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of the Company. Unless defined herein, capitalized terms have the meanings given to them in the Underwriting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induce the Underwriter to continue its efforts in connection with the Offering, and in light of the benefits that the offering of the Ordinary Shares will confer upon the undersigned in his/her/its capacity as a shareholder and/or an officer, director or employee of the Company, and for good and valuable consideration, the receipt and sufficiency of which are hereby acknowledged, the undersigned agrees with the Underwriter that, during the period beginning on and including the date of this Agreement through and including the date that is six (6) months after the Closing Date (the “</w:t>
      </w:r>
      <w:r>
        <w:rPr>
          <w:rFonts w:ascii="Times New Roman;Times;Serif" w:hAnsi="Times New Roman;Times;Serif"/>
          <w:b/>
          <w:i w:val="false"/>
          <w:caps w:val="false"/>
          <w:smallCaps w:val="false"/>
          <w:sz w:val="20"/>
        </w:rPr>
        <w:t>Lock-Up Period</w:t>
      </w:r>
      <w:r>
        <w:rPr>
          <w:rFonts w:ascii="Times New Roman;Times;Serif" w:hAnsi="Times New Roman;Times;Serif"/>
          <w:b w:val="false"/>
          <w:i w:val="false"/>
          <w:caps w:val="false"/>
          <w:smallCaps w:val="false"/>
          <w:sz w:val="20"/>
        </w:rPr>
        <w:t>”), the undersigned will not, without the prior written consent of Underwriter, directly or indirectly, (i) offer, sell, assign, transfer, contract to sell, grant any option for the sale of, or otherwise dispose of, or announce the intention to otherwise dispose of, any Ordinary Shares now owned or hereafter acquired by the undersigned or with respect to which the undersigned has or hereafter acquires the power of disposition (including, without limitation, Ordinary Shares which may be deemed to be beneficially owned by the undersigned in accordance with the rules and regulations promulgated under the Securities Act of 1933, as amended, and as the same may be amended or supplemented on or after the date hereof from time to time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(such shares, the “</w:t>
      </w:r>
      <w:r>
        <w:rPr>
          <w:rFonts w:ascii="Times New Roman;Times;Serif" w:hAnsi="Times New Roman;Times;Serif"/>
          <w:b/>
          <w:i w:val="false"/>
          <w:caps w:val="false"/>
          <w:smallCaps w:val="false"/>
          <w:sz w:val="20"/>
        </w:rPr>
        <w:t>Beneficially Owned Shares</w:t>
      </w:r>
      <w:r>
        <w:rPr>
          <w:rFonts w:ascii="Times New Roman;Times;Serif" w:hAnsi="Times New Roman;Times;Serif"/>
          <w:b w:val="false"/>
          <w:i w:val="false"/>
          <w:caps w:val="false"/>
          <w:smallCaps w:val="false"/>
          <w:sz w:val="20"/>
        </w:rPr>
        <w:t>”) or securities convertible into or exercisable or exchangeable for Ordinary Shares, (ii) enter into any swap, hedge or similar agreement or arrangement that transfers in whole or in part, any of the economic consequences of ownership of the Beneficially Owned Shares or securities convertible into or exercisable or exchangeable for Ordinary Shares, whether now owned or hereafter acquired by the undersigned or with respect to which the undersigned has or hereafter acquires the power of disposition, or (iii) engage in any short selling of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during the last 17 days of the Lock-Up Period, the Company issues an earnings release or material news or a material event relating to the Company occurs, or (ii) prior to the expiration of the Lock-Up Period, the Company announces that it will release earnings results or becomes aware that material news or a material event will occur during the 16-day period beginning on the last day of the Lock-Up Period, the restrictions imposed by this Agreement shall continue to apply until the expiration of the 18-day period beginning on the issuance of the earnings release or the occurrence of such material news or material event, as applicable, unless the Underwriter waives, in writing, such extension.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an officer or director of the Company: (i) Underwriter agrees that, at least three (3) business days before the effective date of any release or waiver of the foregoing restrictions in connection with a transfer of Ordinary Shares, Underwriter will notify the Company of the impending release or waiver; and (ii) the Company has agreed in the Underwriting Agreement to announce the impending release or waiver by press release through a major news service at least two (2) business days before the effective date of the release or waiver. Any release or waiver granted by Underwriter hereunder to any such officer or director shall only be effective two (2) business days after the publication date of such press release; provided, that such press release is not a condition to the release of the aforementioned lock-up provisions due to the expiration of the Lock-Up Period. The provisions of this paragraph will also not apply if (a) the release or waiver is effected solely to permit a transfer not for consideration, and (b) the transferee has agreed in writing to be bound by the same terms described in this Agreement to the extent and for the duration that such terms remain in effect at the time of such transfer.</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restrictions set forth in the immediately preceding paragraph shall not apply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transfers made by the undersigned: (a) as a bona fide gift to any member of the immediate family (as defined below) of the undersigned or to a trust the beneficiaries of which are exclusively the undersigned or members of the undersigned’s immediate family, (b) by will or intestate succession upon the death of the undersigned, (c) as a bona fide gift to a charity or educational institution, or (d) if the undersigned is or was an officer, director or employee of the Company, to the Company pursuant to the Company’s right of repurchase upon termination of the undersigned’s service with the Company;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transfers consented to, in writing by Underwriter; provided however, that in the case of any transfer described in clause (i) above, it shall be a condition to the transfer that the transferee executes and delivers to the Representative of the Underwriters, acting on behalf of the Underwriters, not later than one (1)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Underwriter. For purposes of this paragraph, “immediate family” shall mean a spouse, child, grandchild or other lineal descendant (including by adoption), father, mother, brother or sister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further agrees that (i) it will not, during the Lock-Up Period, make any demand or request for or exercise any right with respect to the registration under the Securities Act of any Ordinary Shares or other Beneficially Owned Shares or any securities convertible into or exercisable or exchangeable for Ordinary Shares or other Beneficially Owned Shares, and (ii) the Company may, with respect to any Ordinary Shares or other Beneficially Owned Shares or any securities convertible into or exercisable or exchangeable for Ordinary Shares or other Beneficially Owned Shares owned or held (of record or beneficially) by the undersigned, cause the transfer agent or other registrar to enter stop transfer instructions and implement stop transfer procedures with respect to such securities during the Lock-Up Period. Notwithstanding the forgoing, the restrictions contained in this paragraph shall not apply to such Ordinary Shares or securities convertible into or exercisable for Ordinary Shares the undersigned holds or to hold, subject to certain exceptions and restrictions, if any, as set forth in </w:t>
      </w:r>
      <w:r>
        <w:rPr>
          <w:rFonts w:ascii="Times New Roman;Times;Serif" w:hAnsi="Times New Roman;Times;Serif"/>
          <w:b w:val="false"/>
          <w:i w:val="false"/>
          <w:caps w:val="false"/>
          <w:smallCaps w:val="false"/>
          <w:sz w:val="20"/>
          <w:u w:val="single"/>
        </w:rPr>
        <w:t>Schedule 5</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represents and warrants that the undersigned has full power and authority to enter into this Agreement and that this Agreement has been duly authorized (if the undersigned is not a natural person), executed and delivered by the undersigned and is a valid and binding agreement of the undersigned. This Agreement and all authority herein conferred are irrevocable and shall survive the death or incapacity of the undersigned (if a natural person) and shall be binding upon the heirs, personal representatives, successors and assigns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automatically terminate upon the earliest to occur, if any, of (1) either the Underwriter, on the one hand, or the Company, on the other hand, advising the other in writing, they have determined not to proceed with the Offering, (2) termination of the Underwriting Agreement before the sale of any Ordinary Shares, (3) the withdrawal of the Registration Statement, or (4) the Offering has not closed by the termination date of the Offering or such other date as may be agreed as the final date of the Offering if the Company and the Underwriter extend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 may, in its sole discretion, release or waive the restrictions set forth in this Agreement with respect to the undersigned or any other person or entity, in whole or in part, at any time and from time to time. No release or waiver granted to any person or entity shall require, or be deemed to result in, any corresponding, proportionate, pro rata, or similar release or waiver of the restrictions set forth in this Agreement or any other lock-up agreement with respect to the undersigned or any other person or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shall be governed by and construed in accordance with the laws of the State of New York, without regard to the conflict of laws principles thereof.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4580"/>
      </w:tblGrid>
      <w:tr>
        <w:trPr/>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 Please Print)</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Signatory, in the case of entities - Please Print)</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Signatory, in the case of entities - Please Print)</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of Ordinary Shares Held by Signatory:</w:t>
            </w:r>
          </w:p>
        </w:tc>
      </w:tr>
      <w:tr>
        <w:trPr/>
        <w:tc>
          <w:tcPr>
            <w:tcW w:w="458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 – IMC Rare Earths Ltd]</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 TO LOCK-UP AGREEMENT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400"/>
        <w:gridCol w:w="60"/>
        <w:gridCol w:w="5745"/>
      </w:tblGrid>
      <w:tr>
        <w:trPr/>
        <w:tc>
          <w:tcPr>
            <w:tcW w:w="4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and Type of Securities and Underlying Ordinary 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4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Exceptions/ Carve-Outs</w:t>
            </w:r>
          </w:p>
        </w:tc>
      </w:tr>
      <w:tr>
        <w:trPr/>
        <w:tc>
          <w:tcPr>
            <w:tcW w:w="44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held by Selling Shareholder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4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Schedule 5 of the Underwriting Agreement.</w:t>
            </w:r>
          </w:p>
        </w:tc>
      </w:tr>
      <w:tr>
        <w:trPr/>
        <w:tc>
          <w:tcPr>
            <w:tcW w:w="44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Offtake Warrants / Royalty Option / SJP Warrants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745"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 from lock-up restrictions pursuant to Schedule 7 of the Underwriting Agreement.</w:t>
            </w:r>
          </w:p>
        </w:tc>
      </w:tr>
    </w:tbl>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announced today that Roberts &amp; Ryan, Inc., acting as representative for the underwriters in the Company’s recent public offering of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of the Company’s Ordinary Shares, is [waiving] / [releasing] a lock-up restriction with respect to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 xml:space="preserve">Ordinary Shares held by [certain officers or directors] / [an officer or director] of the Company. The [waiver] / [release] will take effect on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2026, and the securities may be sold on or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press release is not an offer or sale of the securities in the United States or in any other jurisdiction where such offer or sale is prohibited, and such securities may not be offered or sold in the United States absent registration or an exemption from registration under the Securities Act of 1933, as amended.</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ex99-1.htm"/>
      <w:bookmarkStart w:id="5" w:name="ksex991"/>
      <w:bookmarkEnd w:id="4"/>
      <w:bookmarkEnd w:id="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47825" cy="990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47825" cy="990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 Announces Pricing of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SÃO PAULO, Brazil, July 28, 2026 – IMC Rare Earths Ltd (“IMC” or the “Company”), a company focused on the mineral exploration and development of magnet rare earth elements in Brazil, announced the pricing of its initial public offering (the “Offering”) of 4,000,000 ordinary shares at a public offering price of $5.00 per ordinary share, resulting in gross proceeds of $20,000,000, before deducting underwriting discounts, commissions, and other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the underwriters a 45-day option to purchase up to an additional 600,000 ordinary shares at the initial public offering price, less underwriting discounts to cover over-allotments, if any. The ordinary shares have been approved for listing on NYSE American LLC and are expected to commence trading on July 29, 2026, under the ticker symbol “IMC.” The Offering is expected to close on or about July 30, 2026, subject to the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conducted on a firm commitment basis. Roberts &amp; Ryan, Inc. is acting as the representative of the underwriters, and Revere Securities LLC is acting as co-underwriter for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registration statement on Form F-1 relating to the Offering (File No. 333-297175), as amended, was filed with the Securities and Exchange Commission (“SEC”) and was declared effective by the SEC on July 28, 2026. Before you invest, you should read the registration statement and the preliminary prospectus contained therein and the final prospectus, when available, and other documents the Company has filed or will file with the SEC for more complete information about the Company and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 The Offering is being made only by means of a prospectus, forming a part of the registration statement. A final prospectus relating to the Offering will be filed with the SEC and will be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Electronic copies of the final prospectus, when available, may be obtained from Roberts &amp; Ryan, Inc., 39 Broadway, Suite 610, New York, NY 10006, Attention Ed Reid, Email: </w:t>
      </w:r>
      <w:r>
        <w:rPr>
          <w:rFonts w:ascii="Times New Roman;Times;Serif" w:hAnsi="Times New Roman;Times;Serif"/>
          <w:b w:val="false"/>
          <w:i w:val="false"/>
          <w:caps w:val="false"/>
          <w:smallCaps w:val="false"/>
          <w:sz w:val="20"/>
          <w:u w:val="single"/>
        </w:rPr>
        <w:t>ereid@roberts-ryan.com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IMC Rare Earths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 mineral exploration and development company focused on the exploration, development and long-term supply of certain rare earth elements. Its principal project is the Itarantim Project, an ionic adsorption clay rare earth deposit located in the States of Bahia and Minas Gerais, Brazil.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is a Cayman Islands exempted company with its global headquarters and principal executive office in São Paulo, Brazil.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Roberts &amp; Ryan,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Roberts &amp; Ryan, Inc.</w:t>
      </w:r>
      <w:r>
        <w:rPr>
          <w:rFonts w:ascii="Times New Roman;Times;Serif" w:hAnsi="Times New Roman;Times;Serif"/>
          <w:b w:val="false"/>
          <w:i w:val="false"/>
          <w:caps w:val="false"/>
          <w:smallCaps w:val="false"/>
          <w:sz w:val="20"/>
        </w:rPr>
        <w:t> provides execution services across capital markets, equities, and fixed-income products and maintains an active trading presence on the floor of the New York Stock Exchange (NYSE).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1987 by a United States Marine Corps Vietnam combat veteran and Purple Heart recipient, the firm is America’s first Service-Disabled Veteran-Owned (SDVO) broker-dealer.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Roberts &amp; Ryan has committed more than </w:t>
      </w:r>
      <w:r>
        <w:rPr>
          <w:rFonts w:ascii="Times New Roman;Times;Serif" w:hAnsi="Times New Roman;Times;Serif"/>
          <w:b/>
          <w:i w:val="false"/>
          <w:caps w:val="false"/>
          <w:smallCaps w:val="false"/>
          <w:sz w:val="20"/>
        </w:rPr>
        <w:t>$2.5 million</w:t>
      </w:r>
      <w:r>
        <w:rPr>
          <w:rFonts w:ascii="Times New Roman;Times;Serif" w:hAnsi="Times New Roman;Times;Serif"/>
          <w:b w:val="false"/>
          <w:i w:val="false"/>
          <w:caps w:val="false"/>
          <w:smallCaps w:val="false"/>
          <w:sz w:val="20"/>
        </w:rPr>
        <w:t> to organizations that support veterans and their families, with a focus on wellness, mental health, and career transition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including, but not limited to, statements regarding the Company’s proposed Offering. These forward-looking statements involve known and unknown risks and uncertainties and are based on the Company’s current expectations and projections about future events. Investors can identify these forward-looking statements by words or phrases such as “believes,”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Contact: </w:t>
      </w:r>
      <w:r>
        <w:rPr>
          <w:rFonts w:ascii="Times New Roman;Times;Serif" w:hAnsi="Times New Roman;Times;Serif"/>
          <w:b w:val="false"/>
          <w:i w:val="false"/>
          <w:caps w:val="false"/>
          <w:smallCaps w:val="false"/>
          <w:sz w:val="20"/>
          <w:u w:val="single"/>
        </w:rPr>
        <w:t>info@imcrareearths.com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 w:name="ex99-2.htm"/>
      <w:bookmarkStart w:id="7" w:name="ksex992"/>
      <w:bookmarkEnd w:id="6"/>
      <w:bookmarkEnd w:id="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47825" cy="9906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47825" cy="990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IMC Rare Earths Ltd Announces Closing of $20 Million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SÃO PAULO, Brazil</w:t>
      </w:r>
      <w:r>
        <w:rPr>
          <w:rFonts w:ascii="Times New Roman;Times;Serif" w:hAnsi="Times New Roman;Times;Serif"/>
          <w:b w:val="false"/>
          <w:i w:val="false"/>
          <w:caps w:val="false"/>
          <w:smallCaps w:val="false"/>
          <w:sz w:val="20"/>
        </w:rPr>
        <w:t>, July 30, 2026–IMC Rare Earths Ltd (“IMC” or the “Company”), a company focused on the mineral exploration and development of magnet rare earth elements in Brazil, announced the closing of its initial public offering (the “Offering”) of 4,000,000 ordinary shares at a public offering price of $5.00 per ordinary share, resulting in gross proceeds of $20,000,000, before deducting underwriting discounts, commissions, and other related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granted Roberts &amp; Ryan, Inc., as representative of the underwriters, an option, exercisable within 45 days from the closing date of the Offering, to purchase up to an additional 600,000 ordinary shares at the initial public offering price, less underwriting discounts to cover over-allotments, if any. The Company’s ordinary shares began trading on NYSE American LLC under the ticker symbol “IMC” on July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was conducted on a firm commitment basis. The Company intends to use the proceeds from the Offering for working capital and general corporate purposes, including exploration, development, licensing and permitting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Roberts &amp; Ryan, Inc. acted as the representative of the underwriters for the Offering, and Revere Securities LLC acted as co-underwriter. Gibson, Dunn &amp; Crutcher LLP, acted as U.S. counsel to the Company, and Loeb &amp; Loeb LLP acted as U.S. counsel to the underwriters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registration statement on Form F-1 (File No. 333-297175), as amended, was filed with the Securities and Exchange Commission (“SEC”) and was declared effective by the SEC on July 28, 2026. A final prospectus relating to the offering has been filed with the SEC and is available on the SEC’s website at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xml:space="preserve">. Electronic copies of the final prospectus relating to this offering, may be obtained from Roberts &amp; Ryan, Inc., Suite 610, New York, NY 10006, Attention: Ed Reid, Email: </w:t>
      </w:r>
      <w:r>
        <w:rPr>
          <w:rFonts w:ascii="Times New Roman;Times;Serif" w:hAnsi="Times New Roman;Times;Serif"/>
          <w:b w:val="false"/>
          <w:i w:val="false"/>
          <w:caps w:val="false"/>
          <w:smallCaps w:val="false"/>
          <w:sz w:val="20"/>
          <w:u w:val="single"/>
        </w:rPr>
        <w:t>ereid@roberts-ryan.com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invest, you should read the registration statement, as amended, including the final prospectus and other documents the Company has filed or will file with the SEC for more complete information about the Company and the Offering. 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IMC Rare Earths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 is a mineral exploration and development company focused on the exploration, development and long-term supply of certain rare earth elements. Its principal project is the Itarantim Project, an ionic adsorption clay rare earth deposit located in the States of Bahia and Minas Gerais, Brazil.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is a Cayman Islands exempted company with its global headquarters and principal executive office in São Paulo, Brazil.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Roberts &amp; Ryan,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Roberts &amp; Ryan, Inc.</w:t>
      </w:r>
      <w:r>
        <w:rPr>
          <w:rFonts w:ascii="Times New Roman;Times;Serif" w:hAnsi="Times New Roman;Times;Serif"/>
          <w:b w:val="false"/>
          <w:i w:val="false"/>
          <w:caps w:val="false"/>
          <w:smallCaps w:val="false"/>
          <w:sz w:val="20"/>
        </w:rPr>
        <w:t xml:space="preserve"> provides execution services across capital markets, equities, and fixed-income products and maintains an active trading presence on the floor of the New York Stock Exchange (NYSE).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Founded in 1987 by a United States Marine Corps Vietnam combat veteran and Purple Heart recipient, the firm is America’s first Service-Disabled Veteran-Owned (SDVO) broker-dealer.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Roberts &amp; Ryan has committed more than </w:t>
      </w:r>
      <w:r>
        <w:rPr>
          <w:rFonts w:ascii="Times New Roman;Times;Serif" w:hAnsi="Times New Roman;Times;Serif"/>
          <w:b/>
          <w:i w:val="false"/>
          <w:caps w:val="false"/>
          <w:smallCaps w:val="false"/>
          <w:sz w:val="20"/>
        </w:rPr>
        <w:t>$2.5 million</w:t>
      </w:r>
      <w:r>
        <w:rPr>
          <w:rFonts w:ascii="Times New Roman;Times;Serif" w:hAnsi="Times New Roman;Times;Serif"/>
          <w:b w:val="false"/>
          <w:i w:val="false"/>
          <w:caps w:val="false"/>
          <w:smallCaps w:val="false"/>
          <w:sz w:val="20"/>
        </w:rPr>
        <w:t xml:space="preserve"> to organizations that support veterans and their families, with a focus on wellness, mental health, and career transition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are forward-looking statements, including statements regarding the Company’s expected use of proceeds from the Offering and its future business plans and strategy.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or phrases such as “believes,” “expects,” “anticipates,” “estimates,” “projects,” “intends,” “plans,” “will,” “would,” “should,” “could,” “may” or other similar expressions.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IMC Rare Earths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info@imcrareearths.com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39</Pages>
  <Words>28191</Words>
  <Characters>151400</Characters>
  <CharactersWithSpaces>179624</CharactersWithSpaces>
  <Paragraphs>1057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