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s-8.htm"/>
      <w:bookmarkStart w:id="1" w:name="ksform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rPr>
      </w:pPr>
      <w:r>
        <w:rPr>
          <w:caps/>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IMC RARE EARTHS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4955"/>
        <w:gridCol w:w="60"/>
        <w:gridCol w:w="2915"/>
      </w:tblGrid>
      <w:tr>
        <w:trPr/>
        <w:tc>
          <w:tcPr>
            <w:tcW w:w="49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c>
          <w:tcPr>
            <w:tcW w:w="60"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49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60" w:type="dxa"/>
            <w:tcBorders/>
            <w:vAlign w:val="center"/>
          </w:tcPr>
          <w:p>
            <w:pPr>
              <w:pStyle w:val="TableContents"/>
              <w:bidi w:val="0"/>
              <w:spacing w:before="0" w:after="283"/>
              <w:jc w:val="center"/>
              <w:rPr/>
            </w:pPr>
            <w:r>
              <w:rPr/>
              <w:t> </w:t>
            </w:r>
          </w:p>
        </w:tc>
        <w:tc>
          <w:tcPr>
            <w:tcW w:w="29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Avenida Paulista, 1765, 7th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São Paulo, São Paulo, 0311-930, Brazil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(84) 99173-2523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Omnibus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Puglisi &amp; Associates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 Library Avenue, Suite 204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Delaware 19711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302-738-6680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Copies to</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Collins, Esq.</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 M Street, N.W.</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20036-4504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(202) 955-8500</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1820"/>
        <w:gridCol w:w="230"/>
        <w:gridCol w:w="2225"/>
        <w:gridCol w:w="245"/>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(this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is filed by IMC Rare Earths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Registrant</w:t>
      </w:r>
      <w:r>
        <w:rPr>
          <w:rFonts w:ascii="Times New Roman;Times;Serif" w:hAnsi="Times New Roman;Times;Serif"/>
          <w:b w:val="false"/>
          <w:i w:val="false"/>
          <w:caps w:val="false"/>
          <w:smallCaps w:val="false"/>
          <w:sz w:val="20"/>
        </w:rPr>
        <w:t>”) to register 5,400,000 ordinary shares, par value $0.0001 per share, of the Company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that may be offered and issued pursuant to awards to eligible persons under the IMC Rare Earths Ltd 2026 Omnibus Incentive Plan, as may be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Required in the Section 10(a) Prospectus</w:t>
      </w:r>
    </w:p>
    <w:p>
      <w:pPr>
        <w:pStyle w:val="TextBody"/>
        <w:bidi w:val="0"/>
        <w:spacing w:before="0" w:after="0"/>
        <w:ind w:left="0" w:right="0" w:hanging="0"/>
        <w:jc w:val="center"/>
        <w:rPr>
          <w:caps/>
        </w:rPr>
      </w:pPr>
      <w:r>
        <w:rPr>
          <w:caps/>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containing the information specified in Part I of Form S-8 will be sent or given to participants as specified by Rule 428(b)(1) of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In accordance with the instructions to Part I of Form S-8, such documents are not being filed with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either as part of this Registration Statement or as prospectuses or prospectus supplements pursuant to Rule 424 of the Securities Act. Such documents and the documents incorporated by reference in this Registration Statement pursuant to Item 3 of Part II of Form S-8, taken together, constitute a prospectus that meets the requirements of Section 10(a) of the Securities Act.</w:t>
      </w:r>
    </w:p>
    <w:p>
      <w:pPr>
        <w:pStyle w:val="TextBody"/>
        <w:bidi w:val="0"/>
        <w:spacing w:before="0" w:after="0"/>
        <w:ind w:left="0" w:right="0" w:firstLine="63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which have previously been filed by the Registrant with the SEC pursuant to the Securities Act and pursuant to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are incorporated by reference into this Registration Statement and shall be deemed to be a part hereof: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prospectus filed by the Registrant with the SEC pursuant to Rule </w:t>
            </w:r>
            <w:hyperlink r:id="rId2">
              <w:r>
                <w:rPr>
                  <w:rStyle w:val="InternetLink"/>
                  <w:rFonts w:ascii="Times New Roman;Times;Serif" w:hAnsi="Times New Roman;Times;Serif"/>
                  <w:b w:val="false"/>
                  <w:i w:val="false"/>
                  <w:caps w:val="false"/>
                  <w:smallCaps w:val="false"/>
                  <w:sz w:val="20"/>
                </w:rPr>
                <w:t>424(b)(4)</w:t>
              </w:r>
            </w:hyperlink>
            <w:r>
              <w:rPr>
                <w:rFonts w:ascii="Times New Roman;Times;Serif" w:hAnsi="Times New Roman;Times;Serif"/>
                <w:b w:val="false"/>
                <w:i w:val="false"/>
                <w:caps w:val="false"/>
                <w:smallCaps w:val="false"/>
                <w:sz w:val="20"/>
              </w:rPr>
              <w:t xml:space="preserve"> under the Securities Act on July 29, 2026, relating to the Registration Statement on Form F-1, as amended (Registration No. 333-297175), which contains the Registrant’s audited financial statements for the latest fiscal year for which such statements have been filed;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"https://www.sec.gov/Archives/edgar/data/2098395/000149315226033155/formf-1a.htm" \l "m_010"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description of the Ordinary Shares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xml:space="preserve"> which is contained in the Registrant’s registration statement on Form F-1/A filed with the SEC on July 14, 2026 under the Securities Act, including any amendment or report filed with the SEC for the purpose of updating such description.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information is deemed furnished and not filed pursuant to securities laws and regulations, all documents subsequently filed by the Registrant with the SEC pursuant to Sections 13(a), 13(c), 14 and 15(d) of the Exchange Act prior to the filing of a post-effective amendment to this Registration Statement which indicates that all securities offered hereby have been sold or which deregisters all such securities then remaining unsold, shall be deemed to be incorporated by reference in this Registration Statement and to be a part hereof from the date of filing of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including financial statements, contained in a document incorporated or deemed to be incorporated by reference herein shall be deemed to be modified or superseded for purposes of this Registration Statement to the extent that a statement contained herein or therein or in any other subsequently filed document which also is incorporated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 The Company’s Amended and Restated Memorandum and Articles provide to the extent permitted by Cayman Islands law, the Company shall indemnify each existing or former secretary, director (including alternate director), and any of the Company’s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the Company’s affairs in any court or tribunal, whether in the Cayman Islands or elsewhere. No such existing or former director (including alternate director), secretary or officer, however, shall be indemnified in respect of any matter arising out of his own dishonesty, fraud, willful default or willful neglect.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the Companies Act (As Revised) of the Cayman Islands, the Company may make a payment, or agree to make a payment, whether by way of advance, loan or otherwise, for any legal costs incurred by an existing or former director (including alternate director), secretary or any of the Company’s officers in respect of any matter identified in above on condition that the director (including alternate director), secretary or officer must repay the amount paid by the Company to the extent that it is ultimately found not liable to indemnify the director (including alternate director), the secretary or that officer for those legal costs.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provides that no member of the Board of Directors or the committee administering the Plan, or any officer or employee of the Company or any affiliate thereof acting on behalf of the Board of Directors or the committee administering the Plan, shall be personally liable for any action, omission, determination, or interpretation taken or made in good faith with respect to the Plan, and all members of the Board of Directors or the committee administering the Plan and each and any officer or employee of the Company and of any affiliate thereof acting on their behalf shall, to the maximum extent permitted by law, be fully indemnified and protected by the Company in respect of any such action, omission, determination or interpretation.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10"/>
        <w:gridCol w:w="60"/>
        <w:gridCol w:w="6755"/>
      </w:tblGrid>
      <w:tr>
        <w:trPr/>
        <w:tc>
          <w:tcPr>
            <w:tcW w:w="710" w:type="dxa"/>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pBdr>
                <w:bottom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10" w:type="dxa"/>
            <w:tcBorders/>
            <w:vAlign w:val="center"/>
          </w:tcPr>
          <w:p>
            <w:pPr>
              <w:pStyle w:val="TableContents"/>
              <w:bidi w:val="0"/>
              <w:spacing w:before="0" w:after="283"/>
              <w:jc w:val="center"/>
              <w:rPr>
                <w:caps w:val="false"/>
                <w:smallCaps w:val="false"/>
              </w:rPr>
            </w:pPr>
            <w:r>
              <w:rPr>
                <w:caps w:val="false"/>
                <w:smallCaps w:val="false"/>
              </w:rPr>
              <w:t> </w:t>
            </w:r>
          </w:p>
        </w:tc>
        <w:tc>
          <w:tcPr>
            <w:tcW w:w="68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Memorandum and Articles of Association.</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4-2.htm">
              <w:r>
                <w:rPr>
                  <w:rStyle w:val="InternetLink"/>
                  <w:rFonts w:ascii="Times New Roman;Times;Serif" w:hAnsi="Times New Roman;Times;Serif"/>
                  <w:b w:val="false"/>
                  <w:i w:val="false"/>
                  <w:caps w:val="false"/>
                  <w:smallCaps w:val="false"/>
                  <w:sz w:val="20"/>
                </w:rPr>
                <w:t>IMC Rare Earths Ltd 2026 Omnibus Incentive Plan</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Ogier.</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UHY LLP.</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Ogier (included in Exhibit 5.1).</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23-3.htm">
              <w:r>
                <w:rPr>
                  <w:rStyle w:val="InternetLink"/>
                  <w:rFonts w:ascii="Times New Roman;Times;Serif" w:hAnsi="Times New Roman;Times;Serif"/>
                  <w:b w:val="false"/>
                  <w:i w:val="false"/>
                  <w:caps w:val="false"/>
                  <w:smallCaps w:val="false"/>
                  <w:sz w:val="20"/>
                </w:rPr>
                <w:t>Consent of ERM Australia Consultants Pty Ltd.</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p_001">
              <w:r>
                <w:rPr>
                  <w:rStyle w:val="InternetLink"/>
                  <w:rFonts w:ascii="Times New Roman;Times;Serif" w:hAnsi="Times New Roman;Times;Serif"/>
                  <w:b w:val="false"/>
                  <w:i w:val="false"/>
                  <w:caps w:val="false"/>
                  <w:smallCaps w:val="false"/>
                  <w:sz w:val="20"/>
                </w:rPr>
                <w:t>Powers of Attorney (included on the signature page to this Registration Statement).</w:t>
              </w:r>
            </w:hyperlink>
          </w:p>
        </w:tc>
      </w:tr>
      <w:tr>
        <w:trPr/>
        <w:tc>
          <w:tcPr>
            <w:tcW w:w="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755" w:type="dxa"/>
            <w:tcBorders/>
            <w:vAlign w:val="center"/>
          </w:tcPr>
          <w:p>
            <w:pPr>
              <w:pStyle w:val="TableContents"/>
              <w:bidi w:val="0"/>
              <w:spacing w:before="0" w:after="283"/>
              <w:jc w:val="both"/>
              <w:rPr/>
            </w:pPr>
            <w:hyperlink w:anchor="ex107-1.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herewith.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Cayman Islands, on August 3, 2026.</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320"/>
        <w:gridCol w:w="2990"/>
      </w:tblGrid>
      <w:tr>
        <w:trPr/>
        <w:tc>
          <w:tcPr>
            <w:tcW w:w="75" w:type="dxa"/>
            <w:tcBorders/>
            <w:vAlign w:val="center"/>
          </w:tcPr>
          <w:p>
            <w:pPr>
              <w:pStyle w:val="TableContents"/>
              <w:bidi w:val="0"/>
              <w:spacing w:before="0" w:after="283"/>
              <w:jc w:val="left"/>
              <w:rPr/>
            </w:pPr>
            <w:r>
              <w:rPr/>
              <w:t> </w:t>
            </w:r>
          </w:p>
        </w:tc>
        <w:tc>
          <w:tcPr>
            <w:tcW w:w="331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IMC Rare Earths Ltd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9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&amp;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p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 that each person whose signature appears below hereby constitutes and appoints each of Francesco Scolaro and Stephen R. Wilson, and each of them acting individually, as his or her true and lawful attorneys-in-fact and agents, each with full power of substitution and resubstitution in each of them singly, for such person and in such person’s name, place and stead, and in any and all capacities, to sign any and all amendments (including post-effective amendments) to this Registration Statement, and to file the same, with all exhibits thereto, and other documents in connection therewith, with the SEC, granting to the attorneys-in-fact and agents, and each of them, full power and authority to do and perform each and every act and thing requisite or necessary to be done in or about the premises, as fully to all intents and purposes as such person might, or could do in person, hereby ratifying and confirming all that the attorneys-in-fact and agents or any of each of them or their substitutes may lawfully do or cause to be done by virtue 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340" w:type="dxa"/>
        <w:jc w:val="left"/>
        <w:tblInd w:w="0" w:type="dxa"/>
        <w:tblLayout w:type="fixed"/>
        <w:tblCellMar>
          <w:top w:w="0" w:type="dxa"/>
          <w:left w:w="0" w:type="dxa"/>
          <w:bottom w:w="28" w:type="dxa"/>
          <w:right w:w="0" w:type="dxa"/>
        </w:tblCellMar>
      </w:tblPr>
      <w:tblGrid>
        <w:gridCol w:w="1865"/>
        <w:gridCol w:w="60"/>
        <w:gridCol w:w="5015"/>
        <w:gridCol w:w="60"/>
        <w:gridCol w:w="1340"/>
      </w:tblGrid>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0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R. Wilson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R. Wilson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 and Principal Financial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Simon Rollason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Rollason</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Roy Siegfried</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Roy Siegfried</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Stanley Veliotis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August 3,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Veliotis</w:t>
            </w:r>
          </w:p>
        </w:tc>
        <w:tc>
          <w:tcPr>
            <w:tcW w:w="60" w:type="dxa"/>
            <w:tcBorders/>
            <w:tcMar>
              <w:bottom w:w="0" w:type="dxa"/>
            </w:tcMar>
            <w:vAlign w:val="center"/>
          </w:tcPr>
          <w:p>
            <w:pPr>
              <w:pStyle w:val="TableContents"/>
              <w:bidi w:val="0"/>
              <w:spacing w:before="0" w:after="283"/>
              <w:jc w:val="left"/>
              <w:rPr/>
            </w:pPr>
            <w:r>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undersigned, the duly authorized representative in the United States of the Registrant has signed this Registration Statement on August 3, 2026.</w:t>
      </w:r>
    </w:p>
    <w:p>
      <w:pPr>
        <w:pStyle w:val="TextBody"/>
        <w:bidi w:val="0"/>
        <w:spacing w:before="0" w:after="0"/>
        <w:ind w:left="0" w:right="0" w:firstLine="490"/>
        <w:jc w:val="both"/>
        <w:rPr>
          <w:caps w:val="false"/>
          <w:smallCaps w:val="false"/>
        </w:rPr>
      </w:pPr>
      <w:r>
        <w:rPr>
          <w:caps w:val="false"/>
          <w:smallCaps w:val="false"/>
        </w:rPr>
        <w:t> </w:t>
      </w:r>
    </w:p>
    <w:tbl>
      <w:tblPr>
        <w:tblW w:w="3004" w:type="dxa"/>
        <w:jc w:val="left"/>
        <w:tblInd w:w="0" w:type="dxa"/>
        <w:tblLayout w:type="fixed"/>
        <w:tblCellMar>
          <w:top w:w="0" w:type="dxa"/>
          <w:left w:w="0" w:type="dxa"/>
          <w:bottom w:w="0" w:type="dxa"/>
          <w:right w:w="0" w:type="dxa"/>
        </w:tblCellMar>
      </w:tblPr>
      <w:tblGrid>
        <w:gridCol w:w="75"/>
        <w:gridCol w:w="366"/>
        <w:gridCol w:w="2563"/>
      </w:tblGrid>
      <w:tr>
        <w:trPr/>
        <w:tc>
          <w:tcPr>
            <w:tcW w:w="75" w:type="dxa"/>
            <w:tcBorders/>
            <w:vAlign w:val="center"/>
          </w:tcPr>
          <w:p>
            <w:pPr>
              <w:pStyle w:val="TableContents"/>
              <w:bidi w:val="0"/>
              <w:spacing w:before="0" w:after="283"/>
              <w:jc w:val="left"/>
              <w:rPr/>
            </w:pPr>
            <w:r>
              <w:rPr/>
              <w:t> </w:t>
            </w:r>
          </w:p>
        </w:tc>
        <w:tc>
          <w:tcPr>
            <w:tcW w:w="2929"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IMC RARE EARTHS LTD</w:t>
            </w:r>
          </w:p>
        </w:tc>
      </w:tr>
      <w:tr>
        <w:trPr/>
        <w:tc>
          <w:tcPr>
            <w:tcW w:w="75"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25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5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Donald J. Puglisi</w:t>
            </w:r>
          </w:p>
        </w:tc>
      </w:tr>
      <w:tr>
        <w:trPr/>
        <w:tc>
          <w:tcPr>
            <w:tcW w:w="75"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25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Donald J. Puglisi</w:t>
            </w:r>
          </w:p>
        </w:tc>
      </w:tr>
      <w:tr>
        <w:trPr/>
        <w:tc>
          <w:tcPr>
            <w:tcW w:w="75" w:type="dxa"/>
            <w:tcBorders/>
            <w:vAlign w:val="center"/>
          </w:tcPr>
          <w:p>
            <w:pPr>
              <w:pStyle w:val="TableContents"/>
              <w:bidi w:val="0"/>
              <w:spacing w:before="0" w:after="283"/>
              <w:jc w:val="left"/>
              <w:rPr/>
            </w:pPr>
            <w:r>
              <w:rPr/>
              <w:t> </w:t>
            </w:r>
          </w:p>
        </w:tc>
        <w:tc>
          <w:tcPr>
            <w:tcW w:w="366" w:type="dxa"/>
            <w:tcBorders/>
            <w:vAlign w:val="center"/>
          </w:tcPr>
          <w:p>
            <w:pPr>
              <w:pStyle w:val="TableContents"/>
              <w:bidi w:val="0"/>
              <w:spacing w:before="0" w:after="283"/>
              <w:jc w:val="left"/>
              <w:rPr/>
            </w:pPr>
            <w:r>
              <w:rPr/>
              <w:t> </w:t>
            </w:r>
          </w:p>
        </w:tc>
        <w:tc>
          <w:tcPr>
            <w:tcW w:w="25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center"/>
        <w:rPr>
          <w:caps w:val="false"/>
          <w:smallCaps w:val="false"/>
        </w:rPr>
      </w:pPr>
      <w:bookmarkStart w:id="3" w:name="ex4-2.htm"/>
      <w:bookmarkStart w:id="4" w:name="ksex42"/>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OMNIBUS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shareholders resolution passed on June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Plan is the IMC Rare Earths Ltd 2026 Omnibus Incentive Plan (the “</w:t>
      </w:r>
      <w:r>
        <w:rPr>
          <w:rFonts w:ascii="Times New Roman;Times;Serif" w:hAnsi="Times New Roman;Times;Serif"/>
          <w:b w:val="false"/>
          <w:i/>
          <w:caps w:val="false"/>
          <w:smallCaps w:val="false"/>
          <w:sz w:val="20"/>
        </w:rPr>
        <w:t xml:space="preserve">Plan’). </w:t>
      </w:r>
      <w:r>
        <w:rPr>
          <w:rFonts w:ascii="Times New Roman;Times;Serif" w:hAnsi="Times New Roman;Times;Serif"/>
          <w:b w:val="false"/>
          <w:i w:val="false"/>
          <w:caps w:val="false"/>
          <w:smallCaps w:val="false"/>
          <w:sz w:val="20"/>
        </w:rPr>
        <w:t xml:space="preserve">The Plan intends to: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encourage the profitability and growth of the Company through short-term and long-term incentives that are consistent with the Company’s objectives;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give Participants an incentive for individual performance;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promote teamwork among Participants; and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give the Company an advantage in attracting and retaining key Employees, Directors, and Consultants. To accomplish such purposes, the Plan provides that the Company may grant Options, Share Appreciation Rights, Restricted Shares, Restricted Share Units, Performance-Based Awards (including performance-based Restricted Shares and Restricted Share Units), Other Share-Based Awards, Other Cash-Based Awards or any combination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THE CONTENTS OF THIS PLAN HAVE NOT BEEN REVIEWED BY ANY REGUALTORY AUTHORITY. YOU ARE ADVISED TO EXERCISE CAUTION IN RELATION TO THE OFFER. IF YOU ARE IN ANY DOUBT ABOUT ANY OF THE CONTENTS OF THIS PLAN, YOU SHOULD OBTAIN INDEPENDENT PROFESSIONAL ADVICE.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Plan, the following terms shall be defined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Administrator” </w:t>
      </w:r>
      <w:r>
        <w:rPr>
          <w:rFonts w:ascii="Times New Roman;Times;Serif" w:hAnsi="Times New Roman;Times;Serif"/>
          <w:b w:val="false"/>
          <w:i w:val="false"/>
          <w:caps w:val="false"/>
          <w:smallCaps w:val="false"/>
          <w:sz w:val="20"/>
        </w:rPr>
        <w:t>means the Board, or, if and to the extent the Board does not administer the Plan, the Committee appointed by the Board to administer the Plan in accordance with Section 3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Affiliate” means </w:t>
      </w:r>
      <w:r>
        <w:rPr>
          <w:rFonts w:ascii="Times New Roman;Times;Serif" w:hAnsi="Times New Roman;Times;Serif"/>
          <w:b w:val="false"/>
          <w:i w:val="false"/>
          <w:caps w:val="false"/>
          <w:smallCaps w:val="false"/>
          <w:sz w:val="20"/>
        </w:rPr>
        <w:t>a Person that directly, or indirectly through one or more intermediaries, controls, or is controlled by, or is under common control with, the Person specified. An entity shall be deemed an Affiliate of the Company for purposes of this definition only for such periods as the requisite ownership or control relationship is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Automatic Exercise Date” </w:t>
      </w:r>
      <w:r>
        <w:rPr>
          <w:rFonts w:ascii="Times New Roman;Times;Serif" w:hAnsi="Times New Roman;Times;Serif"/>
          <w:b w:val="false"/>
          <w:i w:val="false"/>
          <w:caps w:val="false"/>
          <w:smallCaps w:val="false"/>
          <w:sz w:val="20"/>
        </w:rPr>
        <w:t>means, with respect to an Option or a Share Appreciation Right, the last business day of the applicable term of the Option or such right pursuant to Section 7(c) or the Share Appreciation Right pursuant to Section 8(g).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Award” </w:t>
      </w:r>
      <w:r>
        <w:rPr>
          <w:rFonts w:ascii="Times New Roman;Times;Serif" w:hAnsi="Times New Roman;Times;Serif"/>
          <w:b w:val="false"/>
          <w:i w:val="false"/>
          <w:caps w:val="false"/>
          <w:smallCaps w:val="false"/>
          <w:sz w:val="20"/>
        </w:rPr>
        <w:t>means any Option, Share Appreciation Right, Restricted Share, Restricted Share Unit, Performance-Based Award, Other Share-Based Award, or Other Cash-Based Award granted under the Plan.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Award Agreement” </w:t>
      </w:r>
      <w:r>
        <w:rPr>
          <w:rFonts w:ascii="Times New Roman;Times;Serif" w:hAnsi="Times New Roman;Times;Serif"/>
          <w:b w:val="false"/>
          <w:i w:val="false"/>
          <w:caps w:val="false"/>
          <w:smallCaps w:val="false"/>
          <w:sz w:val="20"/>
        </w:rPr>
        <w:t>means any agreement, contract, or other instrument or document evidencing an Award. Evidence of an Award may be in written or electronic form, may be limited to notation on the books and records of the Company and, with the approval of the Administrator. Any Shares that become deliverable to the Participant pursuant to the Plan will be registered in the register of members or listed share register of the Company in the name of the Participant and may be issued in certificate form in the name of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Bylaws” means </w:t>
      </w:r>
      <w:r>
        <w:rPr>
          <w:rFonts w:ascii="Times New Roman;Times;Serif" w:hAnsi="Times New Roman;Times;Serif"/>
          <w:b w:val="false"/>
          <w:i w:val="false"/>
          <w:caps w:val="false"/>
          <w:smallCaps w:val="false"/>
          <w:sz w:val="20"/>
        </w:rPr>
        <w:t>the memorandum and articles of association of the Company, as may be amended and/or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Beneficial Owner” </w:t>
      </w:r>
      <w:r>
        <w:rPr>
          <w:rFonts w:ascii="Times New Roman;Times;Serif" w:hAnsi="Times New Roman;Times;Serif"/>
          <w:b w:val="false"/>
          <w:i w:val="false"/>
          <w:caps w:val="false"/>
          <w:smallCaps w:val="false"/>
          <w:sz w:val="20"/>
        </w:rPr>
        <w:t xml:space="preserve">(or any variant thereof) has the meaning defined in Rule 13d-3 under </w:t>
      </w:r>
      <w:r>
        <w:rPr>
          <w:rFonts w:ascii="Times New Roman;Times;Serif" w:hAnsi="Times New Roman;Times;Serif"/>
          <w:b w:val="false"/>
          <w:i/>
          <w:caps w:val="false"/>
          <w:smallCaps w:val="false"/>
          <w:sz w:val="20"/>
        </w:rPr>
        <w:t>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Board” means </w:t>
      </w: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Cause” </w:t>
      </w:r>
      <w:r>
        <w:rPr>
          <w:rFonts w:ascii="Times New Roman;Times;Serif" w:hAnsi="Times New Roman;Times;Serif"/>
          <w:b w:val="false"/>
          <w:i w:val="false"/>
          <w:caps w:val="false"/>
          <w:smallCaps w:val="false"/>
          <w:sz w:val="20"/>
        </w:rPr>
        <w:t xml:space="preserve">shall have the meaning assigned to such term in any Company or Affiliate employment, severance, or similar agreement or Award Agreement with the Participant or, if no such agreement exists or the agreement does not define “Cause,” Cause means (i) any conduct, action or behavior by a Participant, whether or not in connection with the Participant’s employment, including, without limitation, the commission of any felony or a lesser crime involving dishonesty, fraud, misappropriation, theft wrongful taking of property, embezzlement, bribery, forgery, extortion or other crime of moral turpitude, that has or may reasonably be expected to have a material adverse effect on the reputation or business of the Company, its Subsidiaries and Affiliates or which results in gain or personal enrichment of the Participant to the detriment of the Company, its Subsidiaries and Affiliates;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a governmental authority has prohibited the Participant from working or being affiliated with the Company, its Subsidiaries and Affiliates or the business conducted thereby;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the commission of any act by the Participant of gross negligence or malfeasance, or any willful violation of law, in each case, in connection with the Participant’s performance of his or her duties with the Company or any Affiliate thereof;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 xml:space="preserve">performance of the Participant’s duties in an unsatisfactory manner after a written warning and a ten (10) day opportunity to cure or failure to observe material policies generally applicable to employees after a written warning and a ten (10) day opportunity to cure; (v) a breach of the Participant’s fiduciary duty to the Company which constitutes a willful failure to deal fairly with the Company or its shareholders in connection with a transaction in which the Participant has a material undisclosed personal conflict of interest; </w:t>
      </w:r>
      <w:r>
        <w:rPr>
          <w:rFonts w:ascii="Times New Roman;Times;Serif" w:hAnsi="Times New Roman;Times;Serif"/>
          <w:b w:val="false"/>
          <w:i/>
          <w:caps w:val="false"/>
          <w:smallCaps w:val="false"/>
          <w:sz w:val="20"/>
        </w:rPr>
        <w:t xml:space="preserve">(vi) </w:t>
      </w:r>
      <w:r>
        <w:rPr>
          <w:rFonts w:ascii="Times New Roman;Times;Serif" w:hAnsi="Times New Roman;Times;Serif"/>
          <w:b w:val="false"/>
          <w:i w:val="false"/>
          <w:caps w:val="false"/>
          <w:smallCaps w:val="false"/>
          <w:sz w:val="20"/>
        </w:rPr>
        <w:t xml:space="preserve">the Participant’s chronic absenteeism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 xml:space="preserve">the Participant’s absence of ten percent (10%) or more of total work-days in a calendar year; </w:t>
      </w:r>
      <w:r>
        <w:rPr>
          <w:rFonts w:ascii="Times New Roman;Times;Serif" w:hAnsi="Times New Roman;Times;Serif"/>
          <w:b w:val="false"/>
          <w:i/>
          <w:caps w:val="false"/>
          <w:smallCaps w:val="false"/>
          <w:sz w:val="20"/>
        </w:rPr>
        <w:t xml:space="preserve">(vii) </w:t>
      </w:r>
      <w:r>
        <w:rPr>
          <w:rFonts w:ascii="Times New Roman;Times;Serif" w:hAnsi="Times New Roman;Times;Serif"/>
          <w:b w:val="false"/>
          <w:i w:val="false"/>
          <w:caps w:val="false"/>
          <w:smallCaps w:val="false"/>
          <w:sz w:val="20"/>
        </w:rPr>
        <w:t xml:space="preserve">the Participant’s substance abuse, illegal drug use, or habitual insobriety; or </w:t>
      </w:r>
      <w:r>
        <w:rPr>
          <w:rFonts w:ascii="Times New Roman;Times;Serif" w:hAnsi="Times New Roman;Times;Serif"/>
          <w:b w:val="false"/>
          <w:i/>
          <w:caps w:val="false"/>
          <w:smallCaps w:val="false"/>
          <w:sz w:val="20"/>
        </w:rPr>
        <w:t xml:space="preserve">(viii) </w:t>
      </w:r>
      <w:r>
        <w:rPr>
          <w:rFonts w:ascii="Times New Roman;Times;Serif" w:hAnsi="Times New Roman;Times;Serif"/>
          <w:b w:val="false"/>
          <w:i w:val="false"/>
          <w:caps w:val="false"/>
          <w:smallCaps w:val="false"/>
          <w:sz w:val="20"/>
        </w:rPr>
        <w:t>the Participant’s violation of obligations of confidentiality to any third party in the course of providing services to the Company, its Subsidiaries and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 xml:space="preserve">Change in Capitalization” </w:t>
      </w:r>
      <w:r>
        <w:rPr>
          <w:rFonts w:ascii="Times New Roman;Times;Serif" w:hAnsi="Times New Roman;Times;Serif"/>
          <w:b w:val="false"/>
          <w:i w:val="false"/>
          <w:caps w:val="false"/>
          <w:smallCaps w:val="false"/>
          <w:sz w:val="20"/>
        </w:rPr>
        <w:t xml:space="preserve">means any </w:t>
      </w:r>
      <w:r>
        <w:rPr>
          <w:rFonts w:ascii="Times New Roman;Times;Serif" w:hAnsi="Times New Roman;Times;Serif"/>
          <w:b w:val="false"/>
          <w:i/>
          <w:caps w:val="false"/>
          <w:smallCaps w:val="false"/>
          <w:sz w:val="20"/>
        </w:rPr>
        <w:t xml:space="preserve">(0 </w:t>
      </w:r>
      <w:r>
        <w:rPr>
          <w:rFonts w:ascii="Times New Roman;Times;Serif" w:hAnsi="Times New Roman;Times;Serif"/>
          <w:b w:val="false"/>
          <w:i w:val="false"/>
          <w:caps w:val="false"/>
          <w:smallCaps w:val="false"/>
          <w:sz w:val="20"/>
        </w:rPr>
        <w:t xml:space="preserve">merger, consolidation, reclassification, recapitalization, spin-off, spin-out, repurchase or other reorganization or corporate transaction or event,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dividend (whether in the form of cash, Ordinary Shares or other property), share split or reverse share split,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combination or exchange of shares,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other change in corporate structure, or (v) payment of any other distribution, which, in any such case, the Administrator determines, in its sole discretion, affects the Shares such that an adjustment pursuant to Section 5 of the Plan is appropriate.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 xml:space="preserve">Committee” </w:t>
      </w:r>
      <w:r>
        <w:rPr>
          <w:rFonts w:ascii="Times New Roman;Times;Serif" w:hAnsi="Times New Roman;Times;Serif"/>
          <w:b w:val="false"/>
          <w:i w:val="false"/>
          <w:caps w:val="false"/>
          <w:smallCaps w:val="false"/>
          <w:sz w:val="20"/>
        </w:rPr>
        <w:t>means any committee or subcommittee the Board may appoint to administer the Plan. Subject to the discretion of the Board, the Committee shall be composed entirely of individuals who meet the qualifications of a “non-employee director” within the meaning of Rule 16b-3 under the Exchange Act and any other qualifications required by the applicable stock/share exchange on which the Ordinary Shares are traded. If at any time or to any extent the Board shall not administer the Plan, then the functions of the Administrator specified in the Plan shall be exercised by the Committee. Except as otherwise provided in the Bylaws, or any charter establishing the Committee, any action of the Committee with respect to the administration of the Plan shall be taken by a majority vote at a meeting at which a quorum is duly constituted or unanimous written consent of the Committee’s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 xml:space="preserve">Company” </w:t>
      </w:r>
      <w:r>
        <w:rPr>
          <w:rFonts w:ascii="Times New Roman;Times;Serif" w:hAnsi="Times New Roman;Times;Serif"/>
          <w:b w:val="false"/>
          <w:i w:val="false"/>
          <w:caps w:val="false"/>
          <w:smallCaps w:val="false"/>
          <w:sz w:val="20"/>
        </w:rPr>
        <w:t>means IMC Rare Earths Ltd, an exempted company incorporated in the Cayman Islands with limited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 xml:space="preserve">Consultant” means </w:t>
      </w:r>
      <w:r>
        <w:rPr>
          <w:rFonts w:ascii="Times New Roman;Times;Serif" w:hAnsi="Times New Roman;Times;Serif"/>
          <w:b w:val="false"/>
          <w:i w:val="false"/>
          <w:caps w:val="false"/>
          <w:smallCaps w:val="false"/>
          <w:sz w:val="20"/>
        </w:rPr>
        <w:t>any consultant or independent contractor of the Company or an Affiliate thereof, in each case, who is not an Employee, Executive Officer, or non-employee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 xml:space="preserve">Disability” </w:t>
      </w:r>
      <w:r>
        <w:rPr>
          <w:rFonts w:ascii="Times New Roman;Times;Serif" w:hAnsi="Times New Roman;Times;Serif"/>
          <w:b w:val="false"/>
          <w:i w:val="false"/>
          <w:caps w:val="false"/>
          <w:smallCaps w:val="false"/>
          <w:sz w:val="20"/>
        </w:rPr>
        <w:t xml:space="preserve">shall have the meaning assigned to such term in any individual employment, severance or similar agreement or Award Agreement with the Participant or, if no such agreement exists or the agreement does not define “Disability,” Disability means, with respect to any Participant, that such Participant (0 is unable to engage in any substantial gainful activity by reason of any medically determinable physical or mental impairment which can be expected to result in death or can be expected to last for a continuous period of not less than twelve (12) months, or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 xml:space="preserve">Director” means </w:t>
      </w:r>
      <w:r>
        <w:rPr>
          <w:rFonts w:ascii="Times New Roman;Times;Serif" w:hAnsi="Times New Roman;Times;Serif"/>
          <w:b w:val="false"/>
          <w:i w:val="false"/>
          <w:caps w:val="false"/>
          <w:smallCaps w:val="false"/>
          <w:sz w:val="20"/>
        </w:rPr>
        <w:t>any director of the Company on or after the Effective Date. “</w:t>
      </w:r>
      <w:r>
        <w:rPr>
          <w:rFonts w:ascii="Times New Roman;Times;Serif" w:hAnsi="Times New Roman;Times;Serif"/>
          <w:b w:val="false"/>
          <w:i/>
          <w:caps w:val="false"/>
          <w:smallCaps w:val="false"/>
          <w:sz w:val="20"/>
        </w:rPr>
        <w:t xml:space="preserve">Effective Date” </w:t>
      </w:r>
      <w:r>
        <w:rPr>
          <w:rFonts w:ascii="Times New Roman;Times;Serif" w:hAnsi="Times New Roman;Times;Serif"/>
          <w:b w:val="false"/>
          <w:i w:val="false"/>
          <w:caps w:val="false"/>
          <w:smallCaps w:val="false"/>
          <w:sz w:val="20"/>
        </w:rPr>
        <w:t>shall have the meaning set forth in Section 17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 xml:space="preserve">Eligible Recipient” means: (i) </w:t>
      </w:r>
      <w:r>
        <w:rPr>
          <w:rFonts w:ascii="Times New Roman;Times;Serif" w:hAnsi="Times New Roman;Times;Serif"/>
          <w:b w:val="false"/>
          <w:i w:val="false"/>
          <w:caps w:val="false"/>
          <w:smallCaps w:val="false"/>
          <w:sz w:val="20"/>
        </w:rPr>
        <w:t xml:space="preserve">an Employee;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a non-employee Director; or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a Consultant, in each case, who has been selected as an Eligible Recipient under the Plan by the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 xml:space="preserve">Employee” </w:t>
      </w:r>
      <w:r>
        <w:rPr>
          <w:rFonts w:ascii="Times New Roman;Times;Serif" w:hAnsi="Times New Roman;Times;Serif"/>
          <w:b w:val="false"/>
          <w:i w:val="false"/>
          <w:caps w:val="false"/>
          <w:smallCaps w:val="false"/>
          <w:sz w:val="20"/>
        </w:rPr>
        <w:t>shall mean an employee of the Company or an Affiliate thereof, including an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Officer or Director who is also treated as an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 xml:space="preserve">Exchange Act” means </w:t>
      </w:r>
      <w:r>
        <w:rPr>
          <w:rFonts w:ascii="Times New Roman;Times;Serif" w:hAnsi="Times New Roman;Times;Serif"/>
          <w:b w:val="false"/>
          <w:i w:val="false"/>
          <w:caps w:val="false"/>
          <w:smallCaps w:val="false"/>
          <w:sz w:val="20"/>
        </w:rPr>
        <w:t>the United States Securities Exchange Act of 1934,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 xml:space="preserve">Executive Officer” means each </w:t>
      </w:r>
      <w:r>
        <w:rPr>
          <w:rFonts w:ascii="Times New Roman;Times;Serif" w:hAnsi="Times New Roman;Times;Serif"/>
          <w:b w:val="false"/>
          <w:i w:val="false"/>
          <w:caps w:val="false"/>
          <w:smallCaps w:val="false"/>
          <w:sz w:val="20"/>
        </w:rPr>
        <w:t>Participant who is an executive officer (within the meaning of Rule 3b-7 under the Exchange Act) of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 xml:space="preserve">Exercise Price” means, </w:t>
      </w:r>
      <w:r>
        <w:rPr>
          <w:rFonts w:ascii="Times New Roman;Times;Serif" w:hAnsi="Times New Roman;Times;Serif"/>
          <w:b w:val="false"/>
          <w:i w:val="false"/>
          <w:caps w:val="false"/>
          <w:smallCaps w:val="false"/>
          <w:sz w:val="20"/>
        </w:rPr>
        <w:t>with respect to any Award under which the holder may purchase Shares, the price per share at which a holder of such Award granted hereunder may purchase Shares issuable upon exercise of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Fair Market Value” </w:t>
      </w:r>
      <w:r>
        <w:rPr>
          <w:rFonts w:ascii="Times New Roman;Times;Serif" w:hAnsi="Times New Roman;Times;Serif"/>
          <w:b w:val="false"/>
          <w:i w:val="false"/>
          <w:caps w:val="false"/>
          <w:smallCaps w:val="false"/>
          <w:sz w:val="20"/>
        </w:rPr>
        <w:t xml:space="preserve">as of a particular date shall mean: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if the Ordinary Shares are admitted to trading on a national securities exchange, the fair market value of a Share on any date shall be the closing sale price reported for such share on such exchange on such date or, if no sale was reported on such date, on the last day preceding such date on which a sale was reported; or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if the Shares are not then listed on a national securities exchange or traded in an over-the-counter market or the value of such Shares is not otherwise determinable, such value as determined by the Committee in good faith (such determination to be conclusive and binding on all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 xml:space="preserve">Free Standing Rights” </w:t>
      </w:r>
      <w:r>
        <w:rPr>
          <w:rFonts w:ascii="Times New Roman;Times;Serif" w:hAnsi="Times New Roman;Times;Serif"/>
          <w:b w:val="false"/>
          <w:i w:val="false"/>
          <w:caps w:val="false"/>
          <w:smallCaps w:val="false"/>
          <w:sz w:val="20"/>
        </w:rPr>
        <w:t>shall have the meaning set forth in Section 8(a)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 xml:space="preserve">Option” means </w:t>
      </w:r>
      <w:r>
        <w:rPr>
          <w:rFonts w:ascii="Times New Roman;Times;Serif" w:hAnsi="Times New Roman;Times;Serif"/>
          <w:b w:val="false"/>
          <w:i w:val="false"/>
          <w:caps w:val="false"/>
          <w:smallCaps w:val="false"/>
          <w:sz w:val="20"/>
        </w:rPr>
        <w:t>an option to purchase Shares granted pursuant to Section 7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 xml:space="preserve">Ordinary Shares” means </w:t>
      </w:r>
      <w:r>
        <w:rPr>
          <w:rFonts w:ascii="Times New Roman;Times;Serif" w:hAnsi="Times New Roman;Times;Serif"/>
          <w:b w:val="false"/>
          <w:i w:val="false"/>
          <w:caps w:val="false"/>
          <w:smallCaps w:val="false"/>
          <w:sz w:val="20"/>
        </w:rPr>
        <w:t>the ordinary shares of par value US$0.0001 each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 xml:space="preserve">Other Cash-Based Award” means </w:t>
      </w:r>
      <w:r>
        <w:rPr>
          <w:rFonts w:ascii="Times New Roman;Times;Serif" w:hAnsi="Times New Roman;Times;Serif"/>
          <w:b w:val="false"/>
          <w:i w:val="false"/>
          <w:caps w:val="false"/>
          <w:smallCaps w:val="false"/>
          <w:sz w:val="20"/>
        </w:rPr>
        <w:t>a cash Award granted to a Participant under Section 11 of the Plan, including cash awarded as a bonus or upon the attainment of Performance Goals or otherwise as permitted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 xml:space="preserve">Other Share-Based Award” means </w:t>
      </w:r>
      <w:r>
        <w:rPr>
          <w:rFonts w:ascii="Times New Roman;Times;Serif" w:hAnsi="Times New Roman;Times;Serif"/>
          <w:b w:val="false"/>
          <w:i w:val="false"/>
          <w:caps w:val="false"/>
          <w:smallCaps w:val="false"/>
          <w:sz w:val="20"/>
        </w:rPr>
        <w:t>a right or other interest granted to a Participant under Section 11 of the Plan that may be denominated or payable in, valued in whole or in part by reference to, or otherwise based on or related to, Ordinary Shares, including, but not limited to, unrestricted Shares or dividend equivalents, each of which may be subject to the attainment of Perfonnance Goals or a period of continued employment or other terms or conditions as permitted under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rPr>
        <w:t xml:space="preserve">Participant” </w:t>
      </w:r>
      <w:r>
        <w:rPr>
          <w:rFonts w:ascii="Times New Roman;Times;Serif" w:hAnsi="Times New Roman;Times;Serif"/>
          <w:b w:val="false"/>
          <w:i w:val="false"/>
          <w:caps w:val="false"/>
          <w:smallCaps w:val="false"/>
          <w:sz w:val="20"/>
        </w:rPr>
        <w:t>means any Eligible Recipient selected by the Administrator, pursuant to the Administrator’s authority provided for in Section 3 of the Plan, to receive grants of Options, Share Appreciation Rights, Restricted Shares, Restricted Share Units, Performance-Based Awards, Other Share-Based Awards, Other Cash-Based Awards or any combination of the foregoing, and, upon his or her death, his or her successors, heirs, executors and administrators, as the case may be, solely with respect to any Awards outstanding at the date of the Eligible Recipient’s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rPr>
        <w:t xml:space="preserve">Performance-Based Award” </w:t>
      </w:r>
      <w:r>
        <w:rPr>
          <w:rFonts w:ascii="Times New Roman;Times;Serif" w:hAnsi="Times New Roman;Times;Serif"/>
          <w:b w:val="false"/>
          <w:i w:val="false"/>
          <w:caps w:val="false"/>
          <w:smallCaps w:val="false"/>
          <w:sz w:val="20"/>
        </w:rPr>
        <w:t>means any Award granted under the Plan that is subject to one or more Perfonnance Goals. Any dividends or dividend equivalents payable or credited to a Participant with respect to any unvested Perfonnance-Based Award shall be subject to the same Performance Goals as the Shares or units underlying the Performance-Based Award.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rPr>
        <w:t xml:space="preserve">Performance Goals” </w:t>
      </w:r>
      <w:r>
        <w:rPr>
          <w:rFonts w:ascii="Times New Roman;Times;Serif" w:hAnsi="Times New Roman;Times;Serif"/>
          <w:b w:val="false"/>
          <w:i w:val="false"/>
          <w:caps w:val="false"/>
          <w:smallCaps w:val="false"/>
          <w:sz w:val="20"/>
        </w:rPr>
        <w:t xml:space="preserve">means performance goals based on one or more of the following criteria: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earnings before interest and taxes;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earnings before interest, taxes, depreciation and amortization;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net operating profit after tax;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 xml:space="preserve">cash flow; (v) revenue; </w:t>
      </w:r>
      <w:r>
        <w:rPr>
          <w:rFonts w:ascii="Times New Roman;Times;Serif" w:hAnsi="Times New Roman;Times;Serif"/>
          <w:b w:val="false"/>
          <w:i/>
          <w:caps w:val="false"/>
          <w:smallCaps w:val="false"/>
          <w:sz w:val="20"/>
        </w:rPr>
        <w:t xml:space="preserve">(vi) </w:t>
      </w:r>
      <w:r>
        <w:rPr>
          <w:rFonts w:ascii="Times New Roman;Times;Serif" w:hAnsi="Times New Roman;Times;Serif"/>
          <w:b w:val="false"/>
          <w:i w:val="false"/>
          <w:caps w:val="false"/>
          <w:smallCaps w:val="false"/>
          <w:sz w:val="20"/>
        </w:rPr>
        <w:t xml:space="preserve">net revenues; </w:t>
      </w:r>
      <w:r>
        <w:rPr>
          <w:rFonts w:ascii="Times New Roman;Times;Serif" w:hAnsi="Times New Roman;Times;Serif"/>
          <w:b w:val="false"/>
          <w:i/>
          <w:caps w:val="false"/>
          <w:smallCaps w:val="false"/>
          <w:sz w:val="20"/>
        </w:rPr>
        <w:t xml:space="preserve">(vii) </w:t>
      </w:r>
      <w:r>
        <w:rPr>
          <w:rFonts w:ascii="Times New Roman;Times;Serif" w:hAnsi="Times New Roman;Times;Serif"/>
          <w:b w:val="false"/>
          <w:i w:val="false"/>
          <w:caps w:val="false"/>
          <w:smallCaps w:val="false"/>
          <w:sz w:val="20"/>
        </w:rPr>
        <w:t xml:space="preserve">sales; </w:t>
      </w:r>
      <w:r>
        <w:rPr>
          <w:rFonts w:ascii="Times New Roman;Times;Serif" w:hAnsi="Times New Roman;Times;Serif"/>
          <w:b w:val="false"/>
          <w:i/>
          <w:caps w:val="false"/>
          <w:smallCaps w:val="false"/>
          <w:sz w:val="20"/>
        </w:rPr>
        <w:t xml:space="preserve">(viii) </w:t>
      </w:r>
      <w:r>
        <w:rPr>
          <w:rFonts w:ascii="Times New Roman;Times;Serif" w:hAnsi="Times New Roman;Times;Serif"/>
          <w:b w:val="false"/>
          <w:i w:val="false"/>
          <w:caps w:val="false"/>
          <w:smallCaps w:val="false"/>
          <w:sz w:val="20"/>
        </w:rPr>
        <w:t xml:space="preserve">days sales outstanding; (ix) income; (x) net income; </w:t>
      </w:r>
      <w:r>
        <w:rPr>
          <w:rFonts w:ascii="Times New Roman;Times;Serif" w:hAnsi="Times New Roman;Times;Serif"/>
          <w:b w:val="false"/>
          <w:i/>
          <w:caps w:val="false"/>
          <w:smallCaps w:val="false"/>
          <w:sz w:val="20"/>
        </w:rPr>
        <w:t xml:space="preserve">(xi) </w:t>
      </w:r>
      <w:r>
        <w:rPr>
          <w:rFonts w:ascii="Times New Roman;Times;Serif" w:hAnsi="Times New Roman;Times;Serif"/>
          <w:b w:val="false"/>
          <w:i w:val="false"/>
          <w:caps w:val="false"/>
          <w:smallCaps w:val="false"/>
          <w:sz w:val="20"/>
        </w:rPr>
        <w:t xml:space="preserve">operating income; </w:t>
      </w:r>
      <w:r>
        <w:rPr>
          <w:rFonts w:ascii="Times New Roman;Times;Serif" w:hAnsi="Times New Roman;Times;Serif"/>
          <w:b w:val="false"/>
          <w:i/>
          <w:caps w:val="false"/>
          <w:smallCaps w:val="false"/>
          <w:sz w:val="20"/>
        </w:rPr>
        <w:t xml:space="preserve">(xii) </w:t>
      </w:r>
      <w:r>
        <w:rPr>
          <w:rFonts w:ascii="Times New Roman;Times;Serif" w:hAnsi="Times New Roman;Times;Serif"/>
          <w:b w:val="false"/>
          <w:i w:val="false"/>
          <w:caps w:val="false"/>
          <w:smallCaps w:val="false"/>
          <w:sz w:val="20"/>
        </w:rPr>
        <w:t xml:space="preserve">net operating income; </w:t>
      </w:r>
      <w:r>
        <w:rPr>
          <w:rFonts w:ascii="Times New Roman;Times;Serif" w:hAnsi="Times New Roman;Times;Serif"/>
          <w:b w:val="false"/>
          <w:i/>
          <w:caps w:val="false"/>
          <w:smallCaps w:val="false"/>
          <w:sz w:val="20"/>
        </w:rPr>
        <w:t xml:space="preserve">(xiii) </w:t>
      </w:r>
      <w:r>
        <w:rPr>
          <w:rFonts w:ascii="Times New Roman;Times;Serif" w:hAnsi="Times New Roman;Times;Serif"/>
          <w:b w:val="false"/>
          <w:i w:val="false"/>
          <w:caps w:val="false"/>
          <w:smallCaps w:val="false"/>
          <w:sz w:val="20"/>
        </w:rPr>
        <w:t xml:space="preserve">operating margin; </w:t>
      </w:r>
      <w:r>
        <w:rPr>
          <w:rFonts w:ascii="Times New Roman;Times;Serif" w:hAnsi="Times New Roman;Times;Serif"/>
          <w:b w:val="false"/>
          <w:i/>
          <w:caps w:val="false"/>
          <w:smallCaps w:val="false"/>
          <w:sz w:val="20"/>
        </w:rPr>
        <w:t xml:space="preserve">(xi’) </w:t>
      </w:r>
      <w:r>
        <w:rPr>
          <w:rFonts w:ascii="Times New Roman;Times;Serif" w:hAnsi="Times New Roman;Times;Serif"/>
          <w:b w:val="false"/>
          <w:i w:val="false"/>
          <w:caps w:val="false"/>
          <w:smallCaps w:val="false"/>
          <w:sz w:val="20"/>
        </w:rPr>
        <w:t xml:space="preserve">earnings; (xv) earnings per share; (xvi) return on equity; </w:t>
      </w:r>
      <w:r>
        <w:rPr>
          <w:rFonts w:ascii="Times New Roman;Times;Serif" w:hAnsi="Times New Roman;Times;Serif"/>
          <w:b w:val="false"/>
          <w:i/>
          <w:caps w:val="false"/>
          <w:smallCaps w:val="false"/>
          <w:sz w:val="20"/>
        </w:rPr>
        <w:t xml:space="preserve">(xvii) </w:t>
      </w:r>
      <w:r>
        <w:rPr>
          <w:rFonts w:ascii="Times New Roman;Times;Serif" w:hAnsi="Times New Roman;Times;Serif"/>
          <w:b w:val="false"/>
          <w:i w:val="false"/>
          <w:caps w:val="false"/>
          <w:smallCaps w:val="false"/>
          <w:sz w:val="20"/>
        </w:rPr>
        <w:t xml:space="preserve">return on investment: </w:t>
      </w:r>
      <w:r>
        <w:rPr>
          <w:rFonts w:ascii="Times New Roman;Times;Serif" w:hAnsi="Times New Roman;Times;Serif"/>
          <w:b w:val="false"/>
          <w:i/>
          <w:caps w:val="false"/>
          <w:smallCaps w:val="false"/>
          <w:sz w:val="20"/>
        </w:rPr>
        <w:t xml:space="preserve">(xviii) </w:t>
      </w:r>
      <w:r>
        <w:rPr>
          <w:rFonts w:ascii="Times New Roman;Times;Serif" w:hAnsi="Times New Roman;Times;Serif"/>
          <w:b w:val="false"/>
          <w:i w:val="false"/>
          <w:caps w:val="false"/>
          <w:smallCaps w:val="false"/>
          <w:sz w:val="20"/>
        </w:rPr>
        <w:t xml:space="preserve">return on capital; </w:t>
      </w:r>
      <w:r>
        <w:rPr>
          <w:rFonts w:ascii="Times New Roman;Times;Serif" w:hAnsi="Times New Roman;Times;Serif"/>
          <w:b w:val="false"/>
          <w:i/>
          <w:caps w:val="false"/>
          <w:smallCaps w:val="false"/>
          <w:sz w:val="20"/>
        </w:rPr>
        <w:t xml:space="preserve">(xix) </w:t>
      </w:r>
      <w:r>
        <w:rPr>
          <w:rFonts w:ascii="Times New Roman;Times;Serif" w:hAnsi="Times New Roman;Times;Serif"/>
          <w:b w:val="false"/>
          <w:i w:val="false"/>
          <w:caps w:val="false"/>
          <w:smallCaps w:val="false"/>
          <w:sz w:val="20"/>
        </w:rPr>
        <w:t xml:space="preserve">return on assets; (xx) return on net assets; </w:t>
      </w:r>
      <w:r>
        <w:rPr>
          <w:rFonts w:ascii="Times New Roman;Times;Serif" w:hAnsi="Times New Roman;Times;Serif"/>
          <w:b w:val="false"/>
          <w:i/>
          <w:caps w:val="false"/>
          <w:smallCaps w:val="false"/>
          <w:sz w:val="20"/>
        </w:rPr>
        <w:t xml:space="preserve">(xx0 </w:t>
      </w:r>
      <w:r>
        <w:rPr>
          <w:rFonts w:ascii="Times New Roman;Times;Serif" w:hAnsi="Times New Roman;Times;Serif"/>
          <w:b w:val="false"/>
          <w:i w:val="false"/>
          <w:caps w:val="false"/>
          <w:smallCaps w:val="false"/>
          <w:sz w:val="20"/>
        </w:rPr>
        <w:t xml:space="preserve">total shareholder return; </w:t>
      </w:r>
      <w:r>
        <w:rPr>
          <w:rFonts w:ascii="Times New Roman;Times;Serif" w:hAnsi="Times New Roman;Times;Serif"/>
          <w:b w:val="false"/>
          <w:i/>
          <w:caps w:val="false"/>
          <w:smallCaps w:val="false"/>
          <w:sz w:val="20"/>
        </w:rPr>
        <w:t xml:space="preserve">(xxii) </w:t>
      </w:r>
      <w:r>
        <w:rPr>
          <w:rFonts w:ascii="Times New Roman;Times;Serif" w:hAnsi="Times New Roman;Times;Serif"/>
          <w:b w:val="false"/>
          <w:i w:val="false"/>
          <w:caps w:val="false"/>
          <w:smallCaps w:val="false"/>
          <w:sz w:val="20"/>
        </w:rPr>
        <w:t xml:space="preserve">economic profit; </w:t>
      </w:r>
      <w:r>
        <w:rPr>
          <w:rFonts w:ascii="Times New Roman;Times;Serif" w:hAnsi="Times New Roman;Times;Serif"/>
          <w:b w:val="false"/>
          <w:i/>
          <w:caps w:val="false"/>
          <w:smallCaps w:val="false"/>
          <w:sz w:val="20"/>
        </w:rPr>
        <w:t xml:space="preserve">(xviii) </w:t>
      </w:r>
      <w:r>
        <w:rPr>
          <w:rFonts w:ascii="Times New Roman;Times;Serif" w:hAnsi="Times New Roman;Times;Serif"/>
          <w:b w:val="false"/>
          <w:i w:val="false"/>
          <w:caps w:val="false"/>
          <w:smallCaps w:val="false"/>
          <w:sz w:val="20"/>
        </w:rPr>
        <w:t xml:space="preserve">market share; (xxiv) appreciation in the fair market value, book value or other measure of value of the Company’s Ordinary Shares; </w:t>
      </w:r>
      <w:r>
        <w:rPr>
          <w:rFonts w:ascii="Times New Roman;Times;Serif" w:hAnsi="Times New Roman;Times;Serif"/>
          <w:b w:val="false"/>
          <w:i/>
          <w:caps w:val="false"/>
          <w:smallCaps w:val="false"/>
          <w:sz w:val="20"/>
        </w:rPr>
        <w:t xml:space="preserve">(xxv) </w:t>
      </w:r>
      <w:r>
        <w:rPr>
          <w:rFonts w:ascii="Times New Roman;Times;Serif" w:hAnsi="Times New Roman;Times;Serif"/>
          <w:b w:val="false"/>
          <w:i w:val="false"/>
          <w:caps w:val="false"/>
          <w:smallCaps w:val="false"/>
          <w:sz w:val="20"/>
        </w:rPr>
        <w:t xml:space="preserve">expense or cost control; </w:t>
      </w:r>
      <w:r>
        <w:rPr>
          <w:rFonts w:ascii="Times New Roman;Times;Serif" w:hAnsi="Times New Roman;Times;Serif"/>
          <w:b w:val="false"/>
          <w:i/>
          <w:caps w:val="false"/>
          <w:smallCaps w:val="false"/>
          <w:sz w:val="20"/>
        </w:rPr>
        <w:t xml:space="preserve">(xxvi) </w:t>
      </w:r>
      <w:r>
        <w:rPr>
          <w:rFonts w:ascii="Times New Roman;Times;Serif" w:hAnsi="Times New Roman;Times;Serif"/>
          <w:b w:val="false"/>
          <w:i w:val="false"/>
          <w:caps w:val="false"/>
          <w:smallCaps w:val="false"/>
          <w:sz w:val="20"/>
        </w:rPr>
        <w:t xml:space="preserve">working capital; </w:t>
      </w:r>
      <w:r>
        <w:rPr>
          <w:rFonts w:ascii="Times New Roman;Times;Serif" w:hAnsi="Times New Roman;Times;Serif"/>
          <w:b w:val="false"/>
          <w:i/>
          <w:caps w:val="false"/>
          <w:smallCaps w:val="false"/>
          <w:sz w:val="20"/>
        </w:rPr>
        <w:t xml:space="preserve">(xxvii) </w:t>
      </w:r>
      <w:r>
        <w:rPr>
          <w:rFonts w:ascii="Times New Roman;Times;Serif" w:hAnsi="Times New Roman;Times;Serif"/>
          <w:b w:val="false"/>
          <w:i w:val="false"/>
          <w:caps w:val="false"/>
          <w:smallCaps w:val="false"/>
          <w:sz w:val="20"/>
        </w:rPr>
        <w:t xml:space="preserve">volume or production; </w:t>
      </w:r>
      <w:r>
        <w:rPr>
          <w:rFonts w:ascii="Times New Roman;Times;Serif" w:hAnsi="Times New Roman;Times;Serif"/>
          <w:b w:val="false"/>
          <w:i/>
          <w:caps w:val="false"/>
          <w:smallCaps w:val="false"/>
          <w:sz w:val="20"/>
        </w:rPr>
        <w:t xml:space="preserve">(xviii) </w:t>
      </w:r>
      <w:r>
        <w:rPr>
          <w:rFonts w:ascii="Times New Roman;Times;Serif" w:hAnsi="Times New Roman;Times;Serif"/>
          <w:b w:val="false"/>
          <w:i w:val="false"/>
          <w:caps w:val="false"/>
          <w:smallCaps w:val="false"/>
          <w:sz w:val="20"/>
        </w:rPr>
        <w:t xml:space="preserve">new products; </w:t>
      </w:r>
      <w:r>
        <w:rPr>
          <w:rFonts w:ascii="Times New Roman;Times;Serif" w:hAnsi="Times New Roman;Times;Serif"/>
          <w:b w:val="false"/>
          <w:i/>
          <w:caps w:val="false"/>
          <w:smallCaps w:val="false"/>
          <w:sz w:val="20"/>
        </w:rPr>
        <w:t xml:space="preserve">(xxix) </w:t>
      </w:r>
      <w:r>
        <w:rPr>
          <w:rFonts w:ascii="Times New Roman;Times;Serif" w:hAnsi="Times New Roman;Times;Serif"/>
          <w:b w:val="false"/>
          <w:i w:val="false"/>
          <w:caps w:val="false"/>
          <w:smallCaps w:val="false"/>
          <w:sz w:val="20"/>
        </w:rPr>
        <w:t xml:space="preserve">customer satisfaction; (xxx) brand development; </w:t>
      </w:r>
      <w:r>
        <w:rPr>
          <w:rFonts w:ascii="Times New Roman;Times;Serif" w:hAnsi="Times New Roman;Times;Serif"/>
          <w:b w:val="false"/>
          <w:i/>
          <w:caps w:val="false"/>
          <w:smallCaps w:val="false"/>
          <w:sz w:val="20"/>
        </w:rPr>
        <w:t xml:space="preserve">(xxxi) </w:t>
      </w:r>
      <w:r>
        <w:rPr>
          <w:rFonts w:ascii="Times New Roman;Times;Serif" w:hAnsi="Times New Roman;Times;Serif"/>
          <w:b w:val="false"/>
          <w:i w:val="false"/>
          <w:caps w:val="false"/>
          <w:smallCaps w:val="false"/>
          <w:sz w:val="20"/>
        </w:rPr>
        <w:t xml:space="preserve">employee retention or employee turnover; </w:t>
      </w:r>
      <w:r>
        <w:rPr>
          <w:rFonts w:ascii="Times New Roman;Times;Serif" w:hAnsi="Times New Roman;Times;Serif"/>
          <w:b w:val="false"/>
          <w:i/>
          <w:caps w:val="false"/>
          <w:smallCaps w:val="false"/>
          <w:sz w:val="20"/>
        </w:rPr>
        <w:t xml:space="preserve">(xxxii) </w:t>
      </w:r>
      <w:r>
        <w:rPr>
          <w:rFonts w:ascii="Times New Roman;Times;Serif" w:hAnsi="Times New Roman;Times;Serif"/>
          <w:b w:val="false"/>
          <w:i w:val="false"/>
          <w:caps w:val="false"/>
          <w:smallCaps w:val="false"/>
          <w:sz w:val="20"/>
        </w:rPr>
        <w:t xml:space="preserve">employee satisfaction or engagement; </w:t>
      </w:r>
      <w:r>
        <w:rPr>
          <w:rFonts w:ascii="Times New Roman;Times;Serif" w:hAnsi="Times New Roman;Times;Serif"/>
          <w:b w:val="false"/>
          <w:i/>
          <w:caps w:val="false"/>
          <w:smallCaps w:val="false"/>
          <w:sz w:val="20"/>
        </w:rPr>
        <w:t xml:space="preserve">(xxxiii) </w:t>
      </w:r>
      <w:r>
        <w:rPr>
          <w:rFonts w:ascii="Times New Roman;Times;Serif" w:hAnsi="Times New Roman;Times;Serif"/>
          <w:b w:val="false"/>
          <w:i w:val="false"/>
          <w:caps w:val="false"/>
          <w:smallCaps w:val="false"/>
          <w:sz w:val="20"/>
        </w:rPr>
        <w:t xml:space="preserve">environmental, health or other safety goals; </w:t>
      </w:r>
      <w:r>
        <w:rPr>
          <w:rFonts w:ascii="Times New Roman;Times;Serif" w:hAnsi="Times New Roman;Times;Serif"/>
          <w:b w:val="false"/>
          <w:i/>
          <w:caps w:val="false"/>
          <w:smallCaps w:val="false"/>
          <w:sz w:val="20"/>
        </w:rPr>
        <w:t xml:space="preserve">(xxxiv) </w:t>
      </w:r>
      <w:r>
        <w:rPr>
          <w:rFonts w:ascii="Times New Roman;Times;Serif" w:hAnsi="Times New Roman;Times;Serif"/>
          <w:b w:val="false"/>
          <w:i w:val="false"/>
          <w:caps w:val="false"/>
          <w:smallCaps w:val="false"/>
          <w:sz w:val="20"/>
        </w:rPr>
        <w:t xml:space="preserve">individual performance; (xxxv) strategic objective milestones; </w:t>
      </w:r>
      <w:r>
        <w:rPr>
          <w:rFonts w:ascii="Times New Roman;Times;Serif" w:hAnsi="Times New Roman;Times;Serif"/>
          <w:b w:val="false"/>
          <w:i/>
          <w:caps w:val="false"/>
          <w:smallCaps w:val="false"/>
          <w:sz w:val="20"/>
        </w:rPr>
        <w:t xml:space="preserve">(xxxvi) </w:t>
      </w:r>
      <w:r>
        <w:rPr>
          <w:rFonts w:ascii="Times New Roman;Times;Serif" w:hAnsi="Times New Roman;Times;Serif"/>
          <w:b w:val="false"/>
          <w:i w:val="false"/>
          <w:caps w:val="false"/>
          <w:smallCaps w:val="false"/>
          <w:sz w:val="20"/>
        </w:rPr>
        <w:t xml:space="preserve">days inventory outstanding; and </w:t>
      </w:r>
      <w:r>
        <w:rPr>
          <w:rFonts w:ascii="Times New Roman;Times;Serif" w:hAnsi="Times New Roman;Times;Serif"/>
          <w:b w:val="false"/>
          <w:i/>
          <w:caps w:val="false"/>
          <w:smallCaps w:val="false"/>
          <w:sz w:val="20"/>
        </w:rPr>
        <w:t xml:space="preserve">(xxxvii) </w:t>
      </w:r>
      <w:r>
        <w:rPr>
          <w:rFonts w:ascii="Times New Roman;Times;Serif" w:hAnsi="Times New Roman;Times;Serif"/>
          <w:b w:val="false"/>
          <w:i w:val="false"/>
          <w:caps w:val="false"/>
          <w:smallCaps w:val="false"/>
          <w:sz w:val="20"/>
        </w:rPr>
        <w:t>any other performance goal or a combination of performance goals selected by the Administrator. Where applicable, the Performance Goals may be expressed in terms of attaining a specified level of the particular criteria or the attainment of a percentage increase or decrease in the particular criteria, and may be applied to one or more of the Company or an Affiliate thereof, or a division or strategic business unit of the Company,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rPr>
        <w:t xml:space="preserve">Person” </w:t>
      </w:r>
      <w:r>
        <w:rPr>
          <w:rFonts w:ascii="Times New Roman;Times;Serif" w:hAnsi="Times New Roman;Times;Serif"/>
          <w:b w:val="false"/>
          <w:i w:val="false"/>
          <w:caps w:val="false"/>
          <w:smallCaps w:val="false"/>
          <w:sz w:val="20"/>
        </w:rPr>
        <w:t xml:space="preserve">shall have the meaning given in Section 3(a)(9) of the Exchange Act, as modified and used in Sections 13(d) and 14(d) thereof, except that such term shall not include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the Company or any Affiliate thereof, </w:t>
      </w:r>
      <w:r>
        <w:rPr>
          <w:rFonts w:ascii="Times New Roman;Times;Serif" w:hAnsi="Times New Roman;Times;Serif"/>
          <w:b w:val="false"/>
          <w:i/>
          <w:caps w:val="false"/>
          <w:smallCaps w:val="false"/>
          <w:sz w:val="20"/>
        </w:rPr>
        <w:t xml:space="preserve">(ii) a </w:t>
      </w:r>
      <w:r>
        <w:rPr>
          <w:rFonts w:ascii="Times New Roman;Times;Serif" w:hAnsi="Times New Roman;Times;Serif"/>
          <w:b w:val="false"/>
          <w:i w:val="false"/>
          <w:caps w:val="false"/>
          <w:smallCaps w:val="false"/>
          <w:sz w:val="20"/>
        </w:rPr>
        <w:t xml:space="preserve">trustee or other fiduciary holding securities under an employee benefit plan of the Company or any Affiliate thereof,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an underwriter temporarily holding securities pursuant to an offering of such securities, or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a corporation owned, directly or indirectly, by the shareholders of the Company in substantially the same proportions as their ownership of shares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Related Rights” </w:t>
      </w:r>
      <w:r>
        <w:rPr>
          <w:rFonts w:ascii="Times New Roman;Times;Serif" w:hAnsi="Times New Roman;Times;Serif"/>
          <w:b w:val="false"/>
          <w:i w:val="false"/>
          <w:caps w:val="false"/>
          <w:smallCaps w:val="false"/>
          <w:sz w:val="20"/>
        </w:rPr>
        <w:t>shall have the meaning set forth in Section 8(a)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rPr>
        <w:t xml:space="preserve">Restricted Shares” means </w:t>
      </w:r>
      <w:r>
        <w:rPr>
          <w:rFonts w:ascii="Times New Roman;Times;Serif" w:hAnsi="Times New Roman;Times;Serif"/>
          <w:b w:val="false"/>
          <w:i w:val="false"/>
          <w:caps w:val="false"/>
          <w:smallCaps w:val="false"/>
          <w:sz w:val="20"/>
        </w:rPr>
        <w:t>an Award of Shares granted pursuant to Section 9 of the Plan subject to certain restrictions that lapse at the end of a specified period or periods or the attainment of certain Performance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rPr>
        <w:t xml:space="preserve">Restricted Share Unit” means </w:t>
      </w:r>
      <w:r>
        <w:rPr>
          <w:rFonts w:ascii="Times New Roman;Times;Serif" w:hAnsi="Times New Roman;Times;Serif"/>
          <w:b w:val="false"/>
          <w:i w:val="false"/>
          <w:caps w:val="false"/>
          <w:smallCaps w:val="false"/>
          <w:sz w:val="20"/>
        </w:rPr>
        <w:t xml:space="preserve">a notional account established pursuant to an Award granted to a Participant, as described in Section 10 of the Plan, that is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valued solely by reference to Shares,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subject to restrictions specified in the Award Agreement, and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payable in cash or in Shares (as specified in the Award Agreement). The Restricted Share Units awarded to the Participant will vest according to the time-based criteria or Performance Goals criteria specified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rPr>
        <w:t xml:space="preserve">Restricted Period” means </w:t>
      </w:r>
      <w:r>
        <w:rPr>
          <w:rFonts w:ascii="Times New Roman;Times;Serif" w:hAnsi="Times New Roman;Times;Serif"/>
          <w:b w:val="false"/>
          <w:i w:val="false"/>
          <w:caps w:val="false"/>
          <w:smallCaps w:val="false"/>
          <w:sz w:val="20"/>
        </w:rPr>
        <w:t>the period of time determined by the Administrator during which an Award or a portion thereof is subject to restrictions or, as applicable, the period of time within which performance is measured for purposes of determining whether an Award has been earned.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rPr>
        <w:t xml:space="preserve">Retirement” means </w:t>
      </w:r>
      <w:r>
        <w:rPr>
          <w:rFonts w:ascii="Times New Roman;Times;Serif" w:hAnsi="Times New Roman;Times;Serif"/>
          <w:b w:val="false"/>
          <w:i w:val="false"/>
          <w:caps w:val="false"/>
          <w:smallCaps w:val="false"/>
          <w:sz w:val="20"/>
        </w:rPr>
        <w:t>a termination of a Participant’s employment, other than for Cause and other than by reason of death or Disability, on or after the attainment of age 65 or legal retirement age under applicable laws in the country of employment, whichever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rPr>
        <w:t xml:space="preserve">Rule 16b-3” </w:t>
      </w:r>
      <w:r>
        <w:rPr>
          <w:rFonts w:ascii="Times New Roman;Times;Serif" w:hAnsi="Times New Roman;Times;Serif"/>
          <w:b w:val="false"/>
          <w:i w:val="false"/>
          <w:caps w:val="false"/>
          <w:smallCaps w:val="false"/>
          <w:sz w:val="20"/>
        </w:rPr>
        <w:t>shall have the meaning set forth in Section 3(a)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 xml:space="preserve">Shares” </w:t>
      </w:r>
      <w:r>
        <w:rPr>
          <w:rFonts w:ascii="Times New Roman;Times;Serif" w:hAnsi="Times New Roman;Times;Serif"/>
          <w:b w:val="false"/>
          <w:i w:val="false"/>
          <w:caps w:val="false"/>
          <w:smallCaps w:val="false"/>
          <w:sz w:val="20"/>
        </w:rPr>
        <w:t>means Ordinary Shares issued or to be issued under the Plan, as adjusted pursuant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rPr>
        <w:t xml:space="preserve">Share Appreciation Right” means </w:t>
      </w:r>
      <w:r>
        <w:rPr>
          <w:rFonts w:ascii="Times New Roman;Times;Serif" w:hAnsi="Times New Roman;Times;Serif"/>
          <w:b w:val="false"/>
          <w:i w:val="false"/>
          <w:caps w:val="false"/>
          <w:smallCaps w:val="false"/>
          <w:sz w:val="20"/>
        </w:rPr>
        <w:t xml:space="preserve">the right pursuant to an Award granted under Section 8 of the Plan to receive an amount equal to the excess, if any, of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the aggregate Fair Market Value, as of the date such Award or portion thereof is surrendered, of the Shares covered by such Award or such portion thereof, over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the aggregate Exercise Price of such Award or such portion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rPr>
        <w:t xml:space="preserve">Subsidiaries” </w:t>
      </w:r>
      <w:r>
        <w:rPr>
          <w:rFonts w:ascii="Times New Roman;Times;Serif" w:hAnsi="Times New Roman;Times;Serif"/>
          <w:b w:val="false"/>
          <w:i w:val="false"/>
          <w:caps w:val="false"/>
          <w:smallCaps w:val="false"/>
          <w:sz w:val="20"/>
        </w:rPr>
        <w:t>has the meaning as ascribed under the Companies Act (As Revised)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caps w:val="false"/>
          <w:smallCaps w:val="false"/>
          <w:sz w:val="20"/>
        </w:rPr>
        <w:t xml:space="preserve">Substitute Award” </w:t>
      </w:r>
      <w:r>
        <w:rPr>
          <w:rFonts w:ascii="Times New Roman;Times;Serif" w:hAnsi="Times New Roman;Times;Serif"/>
          <w:b w:val="false"/>
          <w:i w:val="false"/>
          <w:caps w:val="false"/>
          <w:smallCaps w:val="false"/>
          <w:sz w:val="20"/>
        </w:rPr>
        <w:t>shall mean an Award granted under the Plan upon the assumption of, or in substitution for, outstanding equity awards granted by a company or other entity in connection with a corporate transaction, such as a merger, combination, consolidation, or acquisition of property or stock/shares; provided, however, that in no event shall the term “Substitute Award” be construed to refer to an award made in connection with the cancellation and repricing of an Option or Share Appreciation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Plan shall be administered by the Administrator and shall be administered in accordance with, to the extent applicable, Rule 16b-3 under the Exchange Act </w:t>
      </w:r>
      <w:r>
        <w:rPr>
          <w:rFonts w:ascii="Times New Roman;Times;Serif" w:hAnsi="Times New Roman;Times;Serif"/>
          <w:b w:val="false"/>
          <w:i/>
          <w:caps w:val="false"/>
          <w:smallCaps w:val="false"/>
          <w:sz w:val="20"/>
        </w:rPr>
        <w:t>(“Rule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terms of the Plan, the Administrator, subject, in the case of any Committee, to any restrictions on the authority delegated to it by the Board, shall have the power and authority,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select those Eligible Recipients who shall be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determine whether and the extent to which Options, Share Appreciation Rights, Restricted Shares, Restricted Share Units, Performance-Based Awards, Other Share-Based Awards, Other Cash-Based Awards or a combination of any of the foregoing, arc to be granted hereunder to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to be covered by each Award granted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determine the terms and conditions of each Award, not inconsistent with the terms of the Plan, of each Award granted hereunder, including, but not limited to, </w:t>
      </w:r>
      <w:r>
        <w:rPr>
          <w:rFonts w:ascii="Times New Roman;Times;Serif" w:hAnsi="Times New Roman;Times;Serif"/>
          <w:b w:val="false"/>
          <w:i/>
          <w:caps w:val="false"/>
          <w:smallCaps w:val="false"/>
          <w:sz w:val="20"/>
        </w:rPr>
        <w:t xml:space="preserve">(A) </w:t>
      </w:r>
      <w:r>
        <w:rPr>
          <w:rFonts w:ascii="Times New Roman;Times;Serif" w:hAnsi="Times New Roman;Times;Serif"/>
          <w:b w:val="false"/>
          <w:i w:val="false"/>
          <w:caps w:val="false"/>
          <w:smallCaps w:val="false"/>
          <w:sz w:val="20"/>
        </w:rPr>
        <w:t xml:space="preserve">the restrictions applicable to Restricted Shares and Restricted Share Units and the conditions under which restrictions applicable to such Restricted Shares and Restricted Share Units shall lapse, </w:t>
      </w:r>
      <w:r>
        <w:rPr>
          <w:rFonts w:ascii="Times New Roman;Times;Serif" w:hAnsi="Times New Roman;Times;Serif"/>
          <w:b w:val="false"/>
          <w:i/>
          <w:caps w:val="false"/>
          <w:smallCaps w:val="false"/>
          <w:sz w:val="20"/>
        </w:rPr>
        <w:t xml:space="preserve">(B) </w:t>
      </w:r>
      <w:r>
        <w:rPr>
          <w:rFonts w:ascii="Times New Roman;Times;Serif" w:hAnsi="Times New Roman;Times;Serif"/>
          <w:b w:val="false"/>
          <w:i w:val="false"/>
          <w:caps w:val="false"/>
          <w:smallCaps w:val="false"/>
          <w:sz w:val="20"/>
        </w:rPr>
        <w:t xml:space="preserve">the Performance Goals and periods applicable to Awards, if any, </w:t>
      </w:r>
      <w:r>
        <w:rPr>
          <w:rFonts w:ascii="Times New Roman;Times;Serif" w:hAnsi="Times New Roman;Times;Serif"/>
          <w:b w:val="false"/>
          <w:i/>
          <w:caps w:val="false"/>
          <w:smallCaps w:val="false"/>
          <w:sz w:val="20"/>
        </w:rPr>
        <w:t xml:space="preserve">(C) </w:t>
      </w:r>
      <w:r>
        <w:rPr>
          <w:rFonts w:ascii="Times New Roman;Times;Serif" w:hAnsi="Times New Roman;Times;Serif"/>
          <w:b w:val="false"/>
          <w:i w:val="false"/>
          <w:caps w:val="false"/>
          <w:smallCaps w:val="false"/>
          <w:sz w:val="20"/>
        </w:rPr>
        <w:t xml:space="preserve">the Exercise Price of each Award, </w:t>
      </w:r>
      <w:r>
        <w:rPr>
          <w:rFonts w:ascii="Times New Roman;Times;Serif" w:hAnsi="Times New Roman;Times;Serif"/>
          <w:b w:val="false"/>
          <w:i/>
          <w:caps w:val="false"/>
          <w:smallCaps w:val="false"/>
          <w:sz w:val="20"/>
        </w:rPr>
        <w:t xml:space="preserve">(D) the </w:t>
      </w:r>
      <w:r>
        <w:rPr>
          <w:rFonts w:ascii="Times New Roman;Times;Serif" w:hAnsi="Times New Roman;Times;Serif"/>
          <w:b w:val="false"/>
          <w:i w:val="false"/>
          <w:caps w:val="false"/>
          <w:smallCaps w:val="false"/>
          <w:sz w:val="20"/>
        </w:rPr>
        <w:t xml:space="preserve">vesting schedule applicable to each Award, and </w:t>
      </w:r>
      <w:r>
        <w:rPr>
          <w:rFonts w:ascii="Times New Roman;Times;Serif" w:hAnsi="Times New Roman;Times;Serif"/>
          <w:b w:val="false"/>
          <w:i/>
          <w:caps w:val="false"/>
          <w:smallCaps w:val="false"/>
          <w:sz w:val="20"/>
        </w:rPr>
        <w:t xml:space="preserve">(E) </w:t>
      </w:r>
      <w:r>
        <w:rPr>
          <w:rFonts w:ascii="Times New Roman;Times;Serif" w:hAnsi="Times New Roman;Times;Serif"/>
          <w:b w:val="false"/>
          <w:i w:val="false"/>
          <w:caps w:val="false"/>
          <w:smallCaps w:val="false"/>
          <w:sz w:val="20"/>
        </w:rPr>
        <w:t>any amendments to the terms and conditions of outstanding Awards, including, but not limited to, extending the exercise period of such Awards and accelerating the vesting schedule of such Awards;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of each Award, not inconsistent with the terms of the Plan, which shall govern all written instruments evidencing Options, Share Appreciation Rights, Restricted Shares, Restricted Share Units or Other Share-Based Awards, Other Cash-Based Awards or any combination of the foregoing granted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determine the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determine the duration and purpose of leaves of absence which may be granted to a Participant without constituting termination of the Participant’s employment for purposes of Awards granted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adopt, alter and repeal such administrative rules, guidelines and practices governing the Plan as it shall from time to time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reconcile any inconsistency in, correct any defect in and/or supply any omission in the Plan, any Award Agreement or other instrument or agreement relating to the Plan or an Award granted under the Plan;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Administrator shall have the right, from time to time, to delegate to one or more officers of the Company the authority of the Administrator to grant and determine the terms and conditions of Awards granted under the Plan, subject to the requirements of any applicable laws and regulations and such other limitations as the Administrator shall determine. In no event shall any such delegation of authority be permitted with respect to Awards to any members of the Board or to any Eligible Recipient who is subject to Rule 16b-3 under the Exchange Act. The Administrator shall also be permitted to delegate, to any appropriate officer or employee of the Company, responsibility for performing certain ministerial functions under the Plan. If the Administrator’s authority is delegated to officers or employees in accordance with the foregoing, all provisions of the Plan relating to the Administrator shall be interpreted in a manner consistent with the foregoing by treating any such reference as a reference to such officer or employee for such purpose. Any action undertaken in accordance with the Administrator’s delegation of authority hereunder shall have the same force and effect as if such action was undertaken directly by the Administrator and shall be deemed for all purposes of the Plan to have been taken by the Administrator.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decisions made by the Administrator pursuant to the provisions of the Plan shall be final, conclusive, and binding on all persons, including the Company and the Participants. No member of the Board or the Committee, or any officer or employee of the Company or any Affiliate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Affiliate thereof acting on their behalf shall, to the maximum extent permitted by law, be fully indemnified and protected by the Company in respect of any such action, omission, determination or 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Shares Subject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5 of the Plan, the aggregate number of Shares that are available for issuance pursuant to Awards granted under the Plan (the “</w:t>
      </w:r>
      <w:r>
        <w:rPr>
          <w:rFonts w:ascii="Times New Roman;Times;Serif" w:hAnsi="Times New Roman;Times;Serif"/>
          <w:b w:val="false"/>
          <w:i/>
          <w:caps w:val="false"/>
          <w:smallCaps w:val="false"/>
          <w:sz w:val="20"/>
        </w:rPr>
        <w:t xml:space="preserve">Maximum Cap”) </w:t>
      </w:r>
      <w:r>
        <w:rPr>
          <w:rFonts w:ascii="Times New Roman;Times;Serif" w:hAnsi="Times New Roman;Times;Serif"/>
          <w:b w:val="false"/>
          <w:i w:val="false"/>
          <w:caps w:val="false"/>
          <w:smallCaps w:val="false"/>
          <w:sz w:val="20"/>
        </w:rPr>
        <w:t>is equal to 5,400,000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maximum number of Shares subject to Awards granted during any fiscal year to any non-employee Director, when taken together with any cash fees paid to such non-employee Director during the fiscal year in respect of his or her service as a Director, shall not exceed US$200,000 in total value (calculating the value of any such Awards based on the grant date Fair Market Value of such Awards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Shares issued under the Plan may, in whole or in part, be authorized but unissued Shares or Shares that have been or may be reacquired by the Company in the open market, in private transactions or otherwise. Any Shares subject to an Award under the Plan that, after the Effective Date, are forfeited, canceled, settled or otherwise terminated without a distribution of Shares to a Participant will thereafter be deemed to be available for Awards. In applying the immediately preceding sentence, if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Shares otherwise issuable or issued in respect of, or as part of, any Award are withheld to cover taxes, such Shares shall be treated as having been issued under the Plan and shall not again be available for issuance under the Plan,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Shares otherwise issuable or issued in respect of, or as part of, any Award of Options or Share Appreciation Rights are withheld to cover the Exercise Price, such Shares shall he treated as having been issued under the Plan and shall not be available for issuance under the Plan, and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any Share-settled Share Appreciation Rights are exercised, the aggregate number of Shares subject to such Share Appreciation Rights shall be deemed issued under the Plan and shall not be available for issuance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Substitute Awards shall not reduce the Shares authorized for issuance pursuant to exercise or conversion of Awards to be granted under the Plan. In the event that a company acquired by the Company or any Affiliate or with which the Company or any Affiliate combines has shares available for issuance pursuant to award of securities under a pre-existing incentive plan approved by its shareholders and not adopted in contemplation of such acquisition or combination, its remaining shares available for issuance pursuant to exercise or conversion of award of securities to be granted under such pre-existing plan (as adjusted, to the extent appropriate, using the exchange ratio or other adjustment or valuation ratio or formula used in such acquisition or combination to determine the consideration payable to the holders of ordinary shares of the entities party to such acquisition or combination) may be used for Awards under the Plan and shall not reduce the Shares authorized for issuance pursuant to exercise or conversion of Awards to be granted under the Plan;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Awards using such available Shares shall not be granted after the date awards could have been granted under the terms of the said pre-existing plan, absent the acquisition or combination, and shall only be granted to individuals who were not employed by or providing services to the Company or its Affiliates immediately prior to such acquisition or combination.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Equitable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any Change in Capitalization, an equitable substitution or proportionate adjustment shall be made, in each case, as may be determined by the Administrator, in its sole discretion, in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the Maximum Cap and the maximum number of Shares that may be subject to Awards granted to any Participant in any calendar or fiscal year,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the kind, number and Exercise Price subject to outstanding Options and Share Appreciation Rights granted under the Plan, and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the kind, number and purchase price of Shares subject to outstanding Restricted Shares or Other Share-Based Awards granted under the Plan, in each case as may be determined by the Administrator, in its sole discretion; </w:t>
      </w:r>
      <w:r>
        <w:rPr>
          <w:rFonts w:ascii="Times New Roman;Times;Serif" w:hAnsi="Times New Roman;Times;Serif"/>
          <w:b w:val="false"/>
          <w:i/>
          <w:caps w:val="false"/>
          <w:smallCaps w:val="false"/>
          <w:sz w:val="20"/>
        </w:rPr>
        <w:t xml:space="preserve">provided, however, that </w:t>
      </w:r>
      <w:r>
        <w:rPr>
          <w:rFonts w:ascii="Times New Roman;Times;Serif" w:hAnsi="Times New Roman;Times;Serif"/>
          <w:b w:val="false"/>
          <w:i w:val="false"/>
          <w:caps w:val="false"/>
          <w:smallCaps w:val="false"/>
          <w:sz w:val="20"/>
        </w:rPr>
        <w:t>any fractional Shares resulting from the adjustment shall be eliminated or rounded to the nearest whole number, and the Exercise Price per Share for the Shares to be issued pursuant to the exercise of an Option shall be no less than the par value of such Share. Such other equitable substitutions or adjustments shall be made as may be determined by the Administrator, in its sole discretion. Without limiting the generality of the foregoing, in connection with a Change in Capitalization, the Administrator may provide, in its sole discretion, for the cancellation of any outstanding Award granted hereunder in exchange for payment in cash or other property having an aggregate Fair Market Value of the Shares covered by such Award, reduced by the aggregate Exercise Price or purchase price thereof, if any. The Administrator’s determinations pursuant to this Section 5 shall be final, binding and conclusive.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Participants under the Plan shall be selected from time to time by the Administrator, in its sole discretion, from among Eligible Recipients.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The Committee may, in its sole discretion, grant Options to Participants.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granted thereunder.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 The prospective recipient of an Option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Exercise Price. </w:t>
      </w:r>
      <w:r>
        <w:rPr>
          <w:rFonts w:ascii="Times New Roman;Times;Serif" w:hAnsi="Times New Roman;Times;Serif"/>
          <w:b w:val="false"/>
          <w:i w:val="false"/>
          <w:caps w:val="false"/>
          <w:smallCaps w:val="false"/>
          <w:sz w:val="20"/>
        </w:rPr>
        <w:t>The Exercise Price of Shares purchasable under an Option shall be determined by the Administrator in the applicable Award Agreement in its sole discretion at the time of grant, provided that the Exercise Price per Share for the Shares to be issued pursuant to the exercise of an Option shall be no less than the par value of such Share. Notwithstanding the foregoing, the Exercise Price per Share for the Shares underlying an Option granted to a United States tax payer shall be no less than the Fair Market Value of a Share on the date of grant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Option Term. </w:t>
      </w:r>
      <w:r>
        <w:rPr>
          <w:rFonts w:ascii="Times New Roman;Times;Serif" w:hAnsi="Times New Roman;Times;Serif"/>
          <w:b w:val="false"/>
          <w:i w:val="false"/>
          <w:caps w:val="false"/>
          <w:smallCaps w:val="false"/>
          <w:sz w:val="20"/>
        </w:rPr>
        <w:t>The maximum term of each Option shall be fixed by the Administrator, but in no event shall an Option be exercisable more than (i) ten (10) years after the date such Option is granted to an Employee or (ii) five (5) years after the date such Option is granted to a non-employee Director or a Consultant. Each Option’s term is subject to earlier expiration pursuant to the applicable provisions in the Plan (including section 7(g)) and the Award Agreement. Notwithstanding the foregoing, the Administrator shall have the authority to accelerate the vesting schedule of any outstanding Option at such time and under such circumstances as the Administrator, in its sole discretion, deems appropriate. Notwithstanding any contrary provision herein, if, on the date an outstanding Option would expire, the exercise of the Option, including by a “net exercise” or “cashless” exercise, would violate applicable securities laws or any insider trading policy maintained by the Company from time to time, the expiration date applicable to the Option will be extended, to a date that is thirty (30) calendar days after the date the exercise of the Option would no longer violate applicable securities laws or any such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as far as the Options granted before the listing of shares of the Company on NYSE American or any other share exchange are concerned, each Option shall be exercised within twelve (12) calendar months after the vesting date as mentioned in the subparagraph (d) below, or otherwise lapse upon expiration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 xml:space="preserve">Vesting Schedule and Exercisability. </w:t>
      </w:r>
      <w:r>
        <w:rPr>
          <w:rFonts w:ascii="Times New Roman;Times;Serif" w:hAnsi="Times New Roman;Times;Serif"/>
          <w:b w:val="false"/>
          <w:i w:val="false"/>
          <w:caps w:val="false"/>
          <w:smallCaps w:val="false"/>
          <w:sz w:val="20"/>
        </w:rPr>
        <w:t>Each Option shall be vested and exercisable at such time or times and subject to such terms and conditions, including the attainment of pre-established Performance Goals (if applicable), as shall be determined by the Administrator in the applicable Award Agreement. The Administrator may also provide that any Option shall he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as far as the Options granted before the listing of shares of the Company on NYSE American or any other share exchange are concerned, such Options shall be vested on either (i) the date(s) specified in the Award Agreement, (ii) after thirty-six (36) calendar months of the grantee’s continuous employment with, or service to, the Company or of any of its affiliates, or (iii) such earlier date as otherwise determined by the Board upon exercising its discretion to accelerate the vesting schedule of the Options.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Method of Exercise. </w:t>
      </w:r>
      <w:r>
        <w:rPr>
          <w:rFonts w:ascii="Times New Roman;Times;Serif" w:hAnsi="Times New Roman;Times;Serif"/>
          <w:b w:val="false"/>
          <w:i w:val="false"/>
          <w:caps w:val="false"/>
          <w:smallCaps w:val="false"/>
          <w:sz w:val="20"/>
        </w:rPr>
        <w:t xml:space="preserve">Options may be exercised in whole or in part by giving written notice of exercise to the Company specifying the number of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by means of consideration received under any cashless exercise procedure approved by the Administrator (including the withholding of Shares otherwise issuable upon exercise), </w:t>
      </w:r>
      <w:r>
        <w:rPr>
          <w:rFonts w:ascii="Times New Roman;Times;Serif" w:hAnsi="Times New Roman;Times;Serif"/>
          <w:b w:val="false"/>
          <w:i/>
          <w:caps w:val="false"/>
          <w:smallCaps w:val="false"/>
          <w:sz w:val="20"/>
        </w:rPr>
        <w:t xml:space="preserve">(ii) in </w:t>
      </w:r>
      <w:r>
        <w:rPr>
          <w:rFonts w:ascii="Times New Roman;Times;Serif" w:hAnsi="Times New Roman;Times;Serif"/>
          <w:b w:val="false"/>
          <w:i w:val="false"/>
          <w:caps w:val="false"/>
          <w:smallCaps w:val="false"/>
          <w:sz w:val="20"/>
        </w:rPr>
        <w:t xml:space="preserve">the form of unrestricted Shares already owned by the Participant which have a Fair Market Value on the date of surrender equal to the aggregate Exercise Price of the Shares as to which such Option shall be exercised,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any other form of consideration approved by the Administrator and permitted by applicable law or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any combination of the foregoing. In determining which methods a Participant may utilize to pay the Exercise Price, the Administrator may consider such factors as it determines are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 xml:space="preserve">Rights as Shareholder. </w:t>
      </w:r>
      <w:r>
        <w:rPr>
          <w:rFonts w:ascii="Times New Roman;Times;Serif" w:hAnsi="Times New Roman;Times;Serif"/>
          <w:b w:val="false"/>
          <w:i w:val="false"/>
          <w:caps w:val="false"/>
          <w:smallCaps w:val="false"/>
          <w:sz w:val="20"/>
        </w:rPr>
        <w:t>A Participant shall have no rights to dividends or any other rights of a shareholder with respect to the Shares subject to an Option until the Participant has given written notice of the exercise thereof, has paid in full for such Shares and has satisfied the requirements of Section 15 of the Plan and the Shares have been issued to the Participant and such Participant has been registered as a shareholder of the Company in the Company’s 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Termination of Employment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Unless the applicable Award Agreement provides otherwise, in the event that the employment or service of a Participant with the Company and all Affiliates thereof shall terminate for any reason other than Cause, Retirement, Disability, or death, </w:t>
      </w:r>
      <w:r>
        <w:rPr>
          <w:rFonts w:ascii="Times New Roman;Times;Serif" w:hAnsi="Times New Roman;Times;Serif"/>
          <w:b w:val="false"/>
          <w:i/>
          <w:caps w:val="false"/>
          <w:smallCaps w:val="false"/>
          <w:sz w:val="20"/>
        </w:rPr>
        <w:t xml:space="preserve">(A) </w:t>
      </w:r>
      <w:r>
        <w:rPr>
          <w:rFonts w:ascii="Times New Roman;Times;Serif" w:hAnsi="Times New Roman;Times;Serif"/>
          <w:b w:val="false"/>
          <w:i w:val="false"/>
          <w:caps w:val="false"/>
          <w:smallCaps w:val="false"/>
          <w:sz w:val="20"/>
        </w:rPr>
        <w:t xml:space="preserve">Options granted to such Participant, to the extent that they have been vested at the time of such termination, shall remain exercisable until the date that is ninety (90) days after such termination, on which date they shall expire, and </w:t>
      </w:r>
      <w:r>
        <w:rPr>
          <w:rFonts w:ascii="Times New Roman;Times;Serif" w:hAnsi="Times New Roman;Times;Serif"/>
          <w:b w:val="false"/>
          <w:i/>
          <w:caps w:val="false"/>
          <w:smallCaps w:val="false"/>
          <w:sz w:val="20"/>
        </w:rPr>
        <w:t xml:space="preserve">(B) </w:t>
      </w:r>
      <w:r>
        <w:rPr>
          <w:rFonts w:ascii="Times New Roman;Times;Serif" w:hAnsi="Times New Roman;Times;Serif"/>
          <w:b w:val="false"/>
          <w:i w:val="false"/>
          <w:caps w:val="false"/>
          <w:smallCaps w:val="false"/>
          <w:sz w:val="20"/>
        </w:rPr>
        <w:t>Options granted to such Participant, to the extent that they have not been vested at the time of such termination, shall be cancelled and lapsed at the commencement of business on the date of such termination. The ninety (90) day period described in this Section 7(g)(i) shall be extended to one (1) year after the date of such termination in the event of the Participant’s death during such ninety (90) day period. Notwithstanding the foregoing, no Option shall be exercisable after the expiration of its Term or its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Unless the applicable Award Agreement provides otherwise, in the event that the employment or service of a Participant with the Company and all Affiliates thereof shall terminate on account of Retirement, Disability or the death of the Participant, (A) Options granted to such Participant, to the extent that they have been vested at the time of such termination, shall remain exercisable until the date that is one (1) year after such termination, on which date they shall expire and </w:t>
      </w:r>
      <w:r>
        <w:rPr>
          <w:rFonts w:ascii="Times New Roman;Times;Serif" w:hAnsi="Times New Roman;Times;Serif"/>
          <w:b w:val="false"/>
          <w:i/>
          <w:caps w:val="false"/>
          <w:smallCaps w:val="false"/>
          <w:sz w:val="20"/>
        </w:rPr>
        <w:t xml:space="preserve">(B) </w:t>
      </w:r>
      <w:r>
        <w:rPr>
          <w:rFonts w:ascii="Times New Roman;Times;Serif" w:hAnsi="Times New Roman;Times;Serif"/>
          <w:b w:val="false"/>
          <w:i w:val="false"/>
          <w:caps w:val="false"/>
          <w:smallCaps w:val="false"/>
          <w:sz w:val="20"/>
        </w:rPr>
        <w:t>Options granted to such Participant, to the extent that they have not been vested at the time of such termination, shall be cancelled and lapsed at the commencement of business on the date of such termination. Notwithstanding the foregoing, no Option shall be exercisable after the expiration of its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of the termination of a Participant’s employment or service for Cause, all outstanding Options (whether or not vested) granted to such Participant shall expire at the commencement of business on the date of such termination or its cancellation.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purposes of this Section 7(g), Options that are not exercisable solely due to a blackout period under the applicable securities law and regulations shall be considered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 xml:space="preserve">Other Change in Employment Status. </w:t>
      </w:r>
      <w:r>
        <w:rPr>
          <w:rFonts w:ascii="Times New Roman;Times;Serif" w:hAnsi="Times New Roman;Times;Serif"/>
          <w:b w:val="false"/>
          <w:i w:val="false"/>
          <w:caps w:val="false"/>
          <w:smallCaps w:val="false"/>
          <w:sz w:val="20"/>
        </w:rPr>
        <w:t>An Option may be affected, both with regard to vesting schedule and termination, by leaves of absence, changes from full-time to part-time employment, partial disability or other changes in the employment status or service of a Participant, as evidenced in a Participant’s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 xml:space="preserve">Automatic Exercise. </w:t>
      </w:r>
      <w:r>
        <w:rPr>
          <w:rFonts w:ascii="Times New Roman;Times;Serif" w:hAnsi="Times New Roman;Times;Serif"/>
          <w:b w:val="false"/>
          <w:i w:val="false"/>
          <w:caps w:val="false"/>
          <w:smallCaps w:val="false"/>
          <w:sz w:val="20"/>
        </w:rPr>
        <w:t>Unless otherwise provided by the Administrator in an Award Agreement or otherwise, or as otherwise directed by the Participant in writing to the Company, each vested and exercisable Option outstanding on the Automatic Exercise Date with an Exercise Price per Share that is less than the Fair Market Value per Share as of such date and not less than the par value of each Share shall automatically and without further action by the Participant or the Company be exercised on the Automatic Exercise Date. In the sole discretion of the Administrator, payment of the Exercise Price of any such Option shall be made pursuant to Section 7(e) and the Company or any Affiliate shall deduct or withhold an amount sufficient to satisfy all taxes associated with such exercise in accordance with Section 15. Unless otherwise determined by the Administrator, this Section 7(j) shall not apply to an Option if the Participant’s employment or service has terminated on or before the Automatic Exercise Date. For the avoidance of doubt, no Option with an Exercise Price per Share that is equal to or greater the Fair Market Value per Share on the Automatic Exercise Date shall be exercised pursuant to this Section 7(j). This clause (i) will not apply to Options granted before the listing of shares of the Company on NYSE American or any other share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Share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 xml:space="preserve">Share Appreciation Rights may be granted either alone </w:t>
      </w:r>
      <w:r>
        <w:rPr>
          <w:rFonts w:ascii="Times New Roman;Times;Serif" w:hAnsi="Times New Roman;Times;Serif"/>
          <w:b w:val="false"/>
          <w:i/>
          <w:caps w:val="false"/>
          <w:smallCaps w:val="false"/>
          <w:sz w:val="20"/>
        </w:rPr>
        <w:t xml:space="preserve">(“Free Standing Fights”) </w:t>
      </w:r>
      <w:r>
        <w:rPr>
          <w:rFonts w:ascii="Times New Roman;Times;Serif" w:hAnsi="Times New Roman;Times;Serif"/>
          <w:b w:val="false"/>
          <w:i w:val="false"/>
          <w:caps w:val="false"/>
          <w:smallCaps w:val="false"/>
          <w:sz w:val="20"/>
        </w:rPr>
        <w:t xml:space="preserve">or in conjunction with all or part of any Option granted under the Plan </w:t>
      </w:r>
      <w:r>
        <w:rPr>
          <w:rFonts w:ascii="Times New Roman;Times;Serif" w:hAnsi="Times New Roman;Times;Serif"/>
          <w:b w:val="false"/>
          <w:i/>
          <w:caps w:val="false"/>
          <w:smallCaps w:val="false"/>
          <w:sz w:val="20"/>
        </w:rPr>
        <w:t xml:space="preserve">(“Related Rights”). </w:t>
      </w:r>
      <w:r>
        <w:rPr>
          <w:rFonts w:ascii="Times New Roman;Times;Serif" w:hAnsi="Times New Roman;Times;Serif"/>
          <w:b w:val="false"/>
          <w:i w:val="false"/>
          <w:caps w:val="false"/>
          <w:smallCaps w:val="false"/>
          <w:sz w:val="20"/>
        </w:rPr>
        <w:t>Related Rights may be granted either at or after the time of the grant of such Option. The Administrator shall determine the Eligible Recipients to whom, and the time or times at which, grants of Share Appreciation Rights shall be made, the number of Shares to be awarded (subject to the Maximum Cap), the price per Share which shall be no less than the par value of such Share, and all other conditions of Share Appreciation Rights. Notwithstanding the foregoing, no Related Right may be granted for more Shares than are subject to the Option to which it relates and any Share Appreciation Right must be granted with an Exercise Price not less than the Fair Market Value of an Ordinary Share on the date of grant.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Awards; Rights as Shareholder. </w:t>
      </w:r>
      <w:r>
        <w:rPr>
          <w:rFonts w:ascii="Times New Roman;Times;Serif" w:hAnsi="Times New Roman;Times;Serif"/>
          <w:b w:val="false"/>
          <w:i w:val="false"/>
          <w:caps w:val="false"/>
          <w:smallCaps w:val="false"/>
          <w:sz w:val="20"/>
        </w:rPr>
        <w:t>The prospective recipient of a Share Appreciation Right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Participants who are granted Share Appreciation Rights shall have no rights as shareholders of the Company with respect to the grant or exercise of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 Appreciation Rights that are Free Standing Rights shall be exercisable at such time or times and subject to such terms and conditions as shall be determined by the Administrator M the applicable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 Appreciation Rights that are Related Rights shall be exercisable only at such time or times and to the extent that the Options to which they relate shall be exercisable in accordance with the provisions of Section 7 above and this Section 8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Payment Upon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exercise of a Free Standing Right, the Participant shall be entitled to receive up to, but not more than, that number of Shares, determined using the Fair Market Value, equal in value to the excess of the Fair Market Value as of the date of exercise over the price per share specified in the Free Standing Right multiplied by the number of Shares in respect of which the Free Standing Right is being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Related Right may be exercised by a Participant by surrendering the applicable portion of the related Option. Upon such exercise and surrender, the Participant shall be entitled to receive up to, but not more than, that number of Shares, determined using the Fair Market Value,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the foregoing, the Administrator may determine to settle the exercise of a Share Appreciation Right in cash (or in any combination of Shares and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Rights as Shareholder </w:t>
      </w:r>
      <w:r>
        <w:rPr>
          <w:rFonts w:ascii="Times New Roman;Times;Serif" w:hAnsi="Times New Roman;Times;Serif"/>
          <w:b w:val="false"/>
          <w:i w:val="false"/>
          <w:caps w:val="false"/>
          <w:smallCaps w:val="false"/>
          <w:sz w:val="20"/>
        </w:rPr>
        <w:t>A Participant shall have no rights to dividends or any other rights of a shareholder with respect to the Shares subject to a Share Appreciation Right until the Participant has given written notice of the exercise thereof, has satisfied the requirements of Section 15 of the Plan and the Shares have been issued to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Termination of Employment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the termination of employment or service with the Company and all Affiliates thereof of a Participant who has been granted one or more Free Standing Rights, such rights shall be exercisable at such time or times and subject to such terms and conditions as shall be determined by he Administrator in the applicable Award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 of each Free Standing Right shall be fixed by the Administrator, but no Free Standing Right shall be exercisable more than (i) ten (10) years after the date such Free Standing Right is granted to an Employee or (ii) five (5) years after the date such Free Standing Right is granted to a non-employee Director or a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 of each Related Right shall be the term of the Option to which it relates, but no Related Right shall be exercisable more than (i) ten (10) years after the date such Related Right is granted to an Employee or (ii) five (5) years after the date such Related Right is granted to a non-employee Director or a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 xml:space="preserve">Automatic Exercise. </w:t>
      </w:r>
      <w:r>
        <w:rPr>
          <w:rFonts w:ascii="Times New Roman;Times;Serif" w:hAnsi="Times New Roman;Times;Serif"/>
          <w:b w:val="false"/>
          <w:i w:val="false"/>
          <w:caps w:val="false"/>
          <w:smallCaps w:val="false"/>
          <w:sz w:val="20"/>
        </w:rPr>
        <w:t>Unless otherwise provided by the Administrator in an Award Agreement or otherwise, or as otherwise directed by the Participant in writing to the Company, each vested and exercisable Share Appreciation Right outstanding on the Automatic Exercise Date with an Exercise Price per Share that is less than the Fair Market Value per Share as of such date shall automatically and without further action by the Participant or the Company be exercised on the Automatic Exercise Date. The Company or any Affiliate shall deduct or withhold an amount sufficient to satisfy all taxes associated with such exercise in accordance with Section 15. Unless otherwise determined by the Administrator, this Section 8(i) shall not apply to a Share Appreciation Right if the Participant’s employment or service has terminated on or before the Automatic Exercise Date. For the avoidance of doubt, no Share Appreciation Right with an Exercise Price per Share that is equal to or greater the Fair Market Value per Share on the Automatic Exercise Date shall be exercised pursuant to this Section 8(i).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Restricted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Restricted Shares may be issued either alone or in addition to other Awards granted under the Plan. The Administrator shall determine the Eligible Recipients to whom, and the time or times at which, grants of Restricted Shares shall be made; the number of Shares to be awarded subject to the Maximum Cap; the price, if any, to be paid by the Participant for the acquisition of Restricted Shares; the Restricted Period, if any, applicable to Restricted Shares; the Performance Goals (if any) applicable to Restricted Shares; and all other conditions of the Restricted Shares. If the restrictions, Performance Goals and/or conditions established by the Administrator are not attained, a Participant shall forfeit his or her Restricted Shares in accordance with the terms of the grant. The provisions of the Restricted Shares need not be the same with respect to each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Awards and Certificates. </w:t>
      </w:r>
      <w:r>
        <w:rPr>
          <w:rFonts w:ascii="Times New Roman;Times;Serif" w:hAnsi="Times New Roman;Times;Serif"/>
          <w:b w:val="false"/>
          <w:i w:val="false"/>
          <w:caps w:val="false"/>
          <w:smallCaps w:val="false"/>
          <w:sz w:val="20"/>
        </w:rPr>
        <w:t xml:space="preserve">The prospective recipient of Restricted Shares shall not have any rights with respect to any such Award, unless and until such recipient has received an Award Agreement and, if required by the Administrator in the Award Agreement, executed and delivered a fully executed copy thereof to the Company, along with a share power or share transfer form, endorsed in blank covering the Shares covered by such Award, within a period of sixty (60) days (or such other period as the Administrator may specify) after the award date. Except as otherwise provided in Section 9(c) of the Plan,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each Participant who is granted an award of Restricted Shares may, in the Company’s sole discretion, be issued a share certificate in respect of such Restricted Shares; and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any such certificate so issued shall be registered in the name of the Participant, and shall bear an appropriate legend referring to the terms, conditions, and restrictions applicable to any such Award.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share power or share transfer form, endorsed in blank, relating to the Shares covered by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Plan to the contrary, any Restricted Shares (whether before or after any vesting conditions have been satisfied) may, in the Company’s sole discretion, be issued in uncertificated form pursuant to the customary arrangements for issuing shares in such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Restrictions and Conditions. </w:t>
      </w:r>
      <w:r>
        <w:rPr>
          <w:rFonts w:ascii="Times New Roman;Times;Serif" w:hAnsi="Times New Roman;Times;Serif"/>
          <w:b w:val="false"/>
          <w:i w:val="false"/>
          <w:caps w:val="false"/>
          <w:smallCaps w:val="false"/>
          <w:sz w:val="20"/>
        </w:rPr>
        <w:t>The Restricted Shares granted pursuant to this Section 9 shall be subject to the following restrictions and conditions and any additional restrictions or conditions as determined by the Administrator at the time of grant or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provided in the Award Agreement, the Participant shall generally have the rights of a shareholder of the Company with respect to Restricted Shares during the Restricted Period. In the Administrator’s discretion and as provided in the applicable Award Agreement, a Participant may be entitled to dividends or dividend equivalents on an Award of Restricted Shares, which will be payable in accordance with the terms of such grant as determined by the Administrator. Certificates for unrestricted Ordinary Shares may, in the Company’s sole discretion, be delivered to the Participant only after the Restricted Period has expired without forfeiture in respect of such Restricted Shares, except as the Administrator, in its sole discretion, shall otherwise determine. The Restricted Shares shall be subject to forfeiture to the extent provided in the applicable Award Agreement and to the extent such Shares are forfeited, the share certificates shall be returned to the Company, and all rights of the Participant to such Shares and as a shareholder with respect to such Shares shall terminate without further obligation on the part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of Participants granted Restricted Shares upon termination of employment or service as a non-employee Director or Consultant of the Company or an Affiliate thereof terminates for any reason during the Restricted Period shall be set forth in the Award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Restricted Share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Restricted Share Units may be issued either alone or in addition to other Awards granted under the Plan. The Administrator shall determine the Eligible Recipients to whom, and the time or times at which, grants of Restricted Share Units shall be made; the number of Restricted Share Units to be awarded; the Restricted Period, if any, applicable to Restricted Share Units; the Performance Goals (if any) applicable to Restricted Share Units; and all other conditions of the Restricted Share Units. If the restrictions, Performance Goals and/or conditions established by the Administrator are not attained, a Participant shall forfeit his or her Restricted Share Units in accordance with the terms of the grant. The provisions of Restricted Share Units need not be the same with respect to each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Award Agreement. </w:t>
      </w:r>
      <w:r>
        <w:rPr>
          <w:rFonts w:ascii="Times New Roman;Times;Serif" w:hAnsi="Times New Roman;Times;Serif"/>
          <w:b w:val="false"/>
          <w:i w:val="false"/>
          <w:caps w:val="false"/>
          <w:smallCaps w:val="false"/>
          <w:sz w:val="20"/>
        </w:rPr>
        <w:t>The prospective recipient of Restricted Share Units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No Ordinary Shares shall be issued at the time a Restricted Share Unit is granted, and the Company will not be required to set aside a fund for the payment of any such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Restrictions and Conditions. </w:t>
      </w:r>
      <w:r>
        <w:rPr>
          <w:rFonts w:ascii="Times New Roman;Times;Serif" w:hAnsi="Times New Roman;Times;Serif"/>
          <w:b w:val="false"/>
          <w:i w:val="false"/>
          <w:caps w:val="false"/>
          <w:smallCaps w:val="false"/>
          <w:sz w:val="20"/>
        </w:rPr>
        <w:t>The Restricted Share Units granted pursuant to this Section 10 shall be subject to the following restrictions and conditions and any additional restrictions or conditions as determined by the Administrator at the time of grant or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Participants holding Restricted Share Units shall have no voting rights. A Restricted Share Unit may, at the Administrator’s discretion, carry with it a right to dividend equivalents. Such right would entitle the holder to be credited with an amount equal to all cash dividends paid on one Share while the Restricted Share Unit is outstanding. The Administrator, in its discretion, may grant dividend equivalents from the date of grant or only after a Restricted Share Unit is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of Participants granted Restricted Share Units upon termination of employment or service as a non-employee Director or Consultant of the Company or an Affiliate thereof terminates for any reason during the Restricted Period shall be set forth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 xml:space="preserve">Settlement of Restricted Share Units. Settlement </w:t>
      </w:r>
      <w:r>
        <w:rPr>
          <w:rFonts w:ascii="Times New Roman;Times;Serif" w:hAnsi="Times New Roman;Times;Serif"/>
          <w:b w:val="false"/>
          <w:i w:val="false"/>
          <w:caps w:val="false"/>
          <w:smallCaps w:val="false"/>
          <w:sz w:val="20"/>
        </w:rPr>
        <w:t>of vested Restricted Share Units shall be made to Participants in the form of Shares, unless the Administrator, in its sole discretion, provides for the payment of the Restricted Share Units in cash (or partly in cash and partly in Shares) equal to the Fair Market Value of the Shares that would otherwise be distributed to the Participant.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Rights as Shareholder. </w:t>
      </w:r>
      <w:r>
        <w:rPr>
          <w:rFonts w:ascii="Times New Roman;Times;Serif" w:hAnsi="Times New Roman;Times;Serif"/>
          <w:b w:val="false"/>
          <w:i w:val="false"/>
          <w:caps w:val="false"/>
          <w:smallCaps w:val="false"/>
          <w:sz w:val="20"/>
        </w:rPr>
        <w:t>Except as provided in the Award Agreement in accordance with Section 10(c)(ii), a Participant shall have no rights to dividends or any other rights of a shareholder with respect to the Shares subject to Restricted Share Units until the Participant has satisfied all conditions of the Award Agreement and the requirements of Section 15 of the Plan and the Shares have been issued to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Other Share-Based or Cash-Based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Administrator is authorized to grant Awards to Participants in the form of Other Share-Based Awards or Other Cash-Based Awards, as deemed by the Administrator to be consistent with the purposes of the Plan and as evidenced by an Award Agreement. The Administrator shall determine the terms and conditions of such Awards, consistent with the terms of the Plan, at the date of grant or thereafter, including any Performance Goals and performance periods. Ordinary Shares or other securities or property delivered pursuant to an Award in the nature of a purchase right granted under this Section 11 shall be purchased for such consideration, paid for at such times, by such methods, and in such forms, including, without limitation, Shares, other Awards, notes or other property, as the Administrator shall determine, subject to any required corporate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prospective recipient of an Other Share-Based Award or Other Cash-Based Award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herein to the contrary, upon a Change in Control, all outstanding Other Share-Based Awards and Other Cash-Based Awards shall be subject to Section 12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Amendment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or the Committee may amend, alter or terminate the Plan, but no amendment, alteration, or termination shall be made that would impair the rights of a Participant under any Award theretofore granted without such Participant’s consent. For the avoidance of doubt, to the extent required by the applicable rules of Nasdaq or any other securities exchange on which the Shares may be listed, no such amendment shall be effective without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approval of the Company’s shareholders shall be obtained to increase the Maximum Cap and annual Award limits described in Section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terms and conditions of the Plan, the Administrator may modify, extend or renew outstanding Awards under the Plan, or accept the surrender of outstanding Awards (to the extent not already exercised) and grant new Awards in substitution of them (to the extent not already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no alteration, modification or termination of an Award will, without the prior written consent of the Participant who has been granted Awards, adversely alter or impair any rights or obligations under any Award already granted under the Plan.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Unfunded Status of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intended to constitute an “unfunded” plan for incentive compensation. Neither the Company, the Board nor the Administrator shall be required to establish any special or separate fund or to segregate any assets to assure the performance of its obligations under the Plan. With respect to any payments not yet made or Shares not yet transferred or issued to a Participant by the Company, nothing contained herein shall give any such Participant any rights that are greater than those of a general creditor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Withholding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Participant shall, no later than the date as of which the value of an Award first becomes includible in the gross income of such Participant for income tax purposes, pay to the Company, or make arrangements satisfactory to the Administrator regarding payment of, any taxes of any kind, domestic or foreign, required by the applicable law or regulation to be withheld with respect :o the Award.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granted hereunder, the Company shall have the right to deduct therefrom an amount sufficient to satisfy any withholding tax requirements related thereto. Whenever Shares are to be delivered pursuant to an Award, the Company shall have the right to require the Participant to remit to the Company in cash an amount sufficient to satisfy any related taxes, domestic or foreign, to be withheld and applied to the tax obligations. With the approval of the Administrator, a Participant may satisfy the foregoing requirement by electing to have the Company withhold from delivery of Shares or by delivering already owned unrestricted Ordinary Shares, in each case, having a value equal to the amount required to be withheld or such other greater amount up to the maximum statutory rate under applicable law, as applicable to such Participant, if such other greater amount would not result in adverse financial accounting treatment, as determined by the Administrator. Such Shares shall be valued at their Fair Market Value on the date of which the amount of tax to be withheld is determined.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Option or other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Transfer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purported sale, assignment, mortgage, hypothecation, transfer, charge, pledge, encumbrance, gift, transfer in trust (voting or other) or other disposition of, or creation of a security interest in or lien on, any Award or any agreement or commitment to do any of the foregoing, other than by will or the laws of descent and distribution(each, a “</w:t>
      </w:r>
      <w:r>
        <w:rPr>
          <w:rFonts w:ascii="Times New Roman;Times;Serif" w:hAnsi="Times New Roman;Times;Serif"/>
          <w:b w:val="false"/>
          <w:i/>
          <w:caps w:val="false"/>
          <w:smallCaps w:val="false"/>
          <w:sz w:val="20"/>
        </w:rPr>
        <w:t xml:space="preserve">Transfer”) </w:t>
      </w:r>
      <w:r>
        <w:rPr>
          <w:rFonts w:ascii="Times New Roman;Times;Serif" w:hAnsi="Times New Roman;Times;Serif"/>
          <w:b w:val="false"/>
          <w:i w:val="false"/>
          <w:caps w:val="false"/>
          <w:smallCaps w:val="false"/>
          <w:sz w:val="20"/>
        </w:rPr>
        <w:t xml:space="preserve">by any holder thereof in violation of the provisions of the Plan or an Award Agreement will be allowed, except with the prior written consent of the Administrator, which consent may be granted or withheld in the sole discretion of the Administrator (provided that such transfer shall comply with applicable law.. Any purported Transfer of an Award or any economic benefit or interest therein in violation of the Plan or an Award Agreement shall be null and void </w:t>
      </w:r>
      <w:r>
        <w:rPr>
          <w:rFonts w:ascii="Times New Roman;Times;Serif" w:hAnsi="Times New Roman;Times;Serif"/>
          <w:b w:val="false"/>
          <w:i/>
          <w:caps w:val="false"/>
          <w:smallCaps w:val="false"/>
          <w:sz w:val="20"/>
        </w:rPr>
        <w:t xml:space="preserve">ab initio, </w:t>
      </w:r>
      <w:r>
        <w:rPr>
          <w:rFonts w:ascii="Times New Roman;Times;Serif" w:hAnsi="Times New Roman;Times;Serif"/>
          <w:b w:val="false"/>
          <w:i w:val="false"/>
          <w:caps w:val="false"/>
          <w:smallCaps w:val="false"/>
          <w:sz w:val="20"/>
        </w:rPr>
        <w:t>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Unless otherwise determined by the Administrator in accordance with the provisions of the immediately preceding sentence, an Option may be exercised, during the lifetime of the Participant, only by the Participant or, during any period during which the Participant is under a legal disability, by the Participant’s guardian or legal representative.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Continued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 Plan shall not confer upon any Eligible Recipient any right to continued employment or service with the Company or an Affiliate thereof, as the case may be, nor shall it interfere in any way with the right of the Company or an Affiliate thereof to terminate the employment or service of any of its Eligible Recipients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Effective Date and Approval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be effective as of the date on which the Plan is approved by the Board, after shareholder approval (the “</w:t>
      </w:r>
      <w:r>
        <w:rPr>
          <w:rFonts w:ascii="Times New Roman;Times;Serif" w:hAnsi="Times New Roman;Times;Serif"/>
          <w:b w:val="false"/>
          <w:i/>
          <w:caps w:val="false"/>
          <w:smallCaps w:val="false"/>
          <w:sz w:val="20"/>
        </w:rPr>
        <w:t xml:space="preserve">Effective Date”). </w:t>
      </w:r>
      <w:r>
        <w:rPr>
          <w:rFonts w:ascii="Times New Roman;Times;Serif" w:hAnsi="Times New Roman;Times;Serif"/>
          <w:b w:val="false"/>
          <w:i w:val="false"/>
          <w:caps w:val="false"/>
          <w:smallCaps w:val="false"/>
          <w:sz w:val="20"/>
        </w:rPr>
        <w:t xml:space="preserve">The Plan will be unlimited in duration and the Board, after shareholder approval, may at any time amend, alter, suspend or terminate the Plan. In the event of Plan termination, will remain in effect as long as any Shares awarded under it are outstanding and not fully vested;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Awards will be made under the Plan on or after the tenth anniversary or fifth anniversary of the Effective Date, as applicable in accordance with applicable law. Termination of the Plan will not impair the rights of any Participant, unless mutually agreed otherwise between the Participant and the Administrator, which agreement must be in writing and signed by the Participant and the Company and will not affect the Administrator’s ability to exercise the powers granted to it hereunder with respect to Awards granted under the Plan prior to the date of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Compensation Recovery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all Awards issued hereunder shall be subject to any compensation recovery and/or recoupment policy adopted by the Company to comply with applicable law, including, without limitation, the United States Dodd-Frank Wall Street Reform and Consumer Protection Act, or to comport with good corporate governance practices, as such policies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governed by and construed in accordance with the laws of the Cayman Islands, without giving effect to principles of conflicts of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Plan Document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and each Award Agreement constitute the entire agreement with respect to the subject matter hereof and thereof; </w:t>
      </w:r>
      <w:r>
        <w:rPr>
          <w:rFonts w:ascii="Times New Roman;Times;Serif" w:hAnsi="Times New Roman;Times;Serif"/>
          <w:b w:val="false"/>
          <w:i/>
          <w:caps w:val="false"/>
          <w:smallCaps w:val="false"/>
          <w:sz w:val="20"/>
        </w:rPr>
        <w:t xml:space="preserve">provided that in the </w:t>
      </w:r>
      <w:r>
        <w:rPr>
          <w:rFonts w:ascii="Times New Roman;Times;Serif" w:hAnsi="Times New Roman;Times;Serif"/>
          <w:b w:val="false"/>
          <w:i w:val="false"/>
          <w:caps w:val="false"/>
          <w:smallCaps w:val="false"/>
          <w:sz w:val="20"/>
        </w:rPr>
        <w:t>event of any inconsistency between the Plan and such Award Agreement, the terms and conditions of the Plan shall control.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No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Ordinary Shares shall be issued or delivered pursuant to the Plan. The Administrator shall determine whether cash, additional Awards or other securities or property shall be issued or paid in lieu of fractional Ordinary Shares or whether any fractional shares should be rounded, forfeited or otherwise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Securities Law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Award Agreement shall provide that no Ordinary Shares shall be purchased or sold thereunder unless and until (a) any then applicable laws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Ordinary Shares upon exercise of the Awards, provided that this undertaking shall not require the Company to register the Ordinary Shares, the Plan or any Award under the United States Securities Act of 1933 (as amended) with the United States Securities and Exchange Commission or with any state securities commission or stock/share exchange or under any other applicable laws. If, after reasonable efforts, the Company is unable to obtain from any such regulatory commission or agency the authority which counsel for the Company deems necessary for the lawful issuance and sale of Ordinary Shares under the Plan, the Company shall be relieved from any liability for failure to issue and sell Ordinary Shares upon exercise of such Awards unless and until such authority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Severability.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 w:name="ex5-1.htm"/>
      <w:bookmarkStart w:id="6" w:name="ksex5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716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371600" cy="6000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5715" w:type="dxa"/>
        <w:jc w:val="left"/>
        <w:tblInd w:w="0" w:type="dxa"/>
        <w:tblLayout w:type="fixed"/>
        <w:tblCellMar>
          <w:top w:w="0" w:type="dxa"/>
          <w:left w:w="0" w:type="dxa"/>
          <w:bottom w:w="0" w:type="dxa"/>
          <w:right w:w="0" w:type="dxa"/>
        </w:tblCellMar>
      </w:tblPr>
      <w:tblGrid>
        <w:gridCol w:w="2915"/>
        <w:gridCol w:w="260"/>
        <w:gridCol w:w="2540"/>
      </w:tblGrid>
      <w:tr>
        <w:trPr/>
        <w:tc>
          <w:tcPr>
            <w:tcW w:w="29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IMC Rare Earths Ltd</w:t>
            </w:r>
          </w:p>
        </w:tc>
        <w:tc>
          <w:tcPr>
            <w:tcW w:w="26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w:t>
            </w:r>
          </w:p>
        </w:tc>
        <w:tc>
          <w:tcPr>
            <w:tcW w:w="2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+852 3656 6054</w:t>
            </w:r>
          </w:p>
        </w:tc>
      </w:tr>
      <w:tr>
        <w:trPr/>
        <w:tc>
          <w:tcPr>
            <w:tcW w:w="2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 Forum Lane, Camana Bay,</w:t>
            </w:r>
          </w:p>
        </w:tc>
        <w:tc>
          <w:tcPr>
            <w:tcW w:w="26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w:t>
            </w:r>
          </w:p>
        </w:tc>
        <w:tc>
          <w:tcPr>
            <w:tcW w:w="2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nathan.powell@ogier.com</w:t>
            </w:r>
          </w:p>
        </w:tc>
      </w:tr>
      <w:tr>
        <w:trPr/>
        <w:tc>
          <w:tcPr>
            <w:tcW w:w="2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3rd Floor – Suite 5304</w:t>
            </w:r>
          </w:p>
        </w:tc>
        <w:tc>
          <w:tcPr>
            <w:tcW w:w="26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w:t>
            </w:r>
          </w:p>
        </w:tc>
        <w:tc>
          <w:tcPr>
            <w:tcW w:w="2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+852 3656 6061</w:t>
            </w:r>
          </w:p>
        </w:tc>
      </w:tr>
      <w:tr>
        <w:trPr/>
        <w:tc>
          <w:tcPr>
            <w:tcW w:w="2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 31230, Grand Cayman</w:t>
            </w:r>
          </w:p>
        </w:tc>
        <w:tc>
          <w:tcPr>
            <w:tcW w:w="26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w:t>
            </w:r>
          </w:p>
        </w:tc>
        <w:tc>
          <w:tcPr>
            <w:tcW w:w="2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florence.chan@ogier.com</w:t>
            </w:r>
          </w:p>
        </w:tc>
      </w:tr>
      <w:tr>
        <w:trPr/>
        <w:tc>
          <w:tcPr>
            <w:tcW w:w="2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KY1-1205, Cayman Islands</w:t>
            </w:r>
          </w:p>
        </w:tc>
        <w:tc>
          <w:tcPr>
            <w:tcW w:w="2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655" w:type="dxa"/>
        <w:jc w:val="left"/>
        <w:tblInd w:w="0" w:type="dxa"/>
        <w:tblLayout w:type="fixed"/>
        <w:tblCellMar>
          <w:top w:w="0" w:type="dxa"/>
          <w:left w:w="0" w:type="dxa"/>
          <w:bottom w:w="0" w:type="dxa"/>
          <w:right w:w="0" w:type="dxa"/>
        </w:tblCellMar>
      </w:tblPr>
      <w:tblGrid>
        <w:gridCol w:w="75"/>
        <w:gridCol w:w="1040"/>
        <w:gridCol w:w="2540"/>
      </w:tblGrid>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Reference:</w:t>
            </w:r>
          </w:p>
        </w:tc>
        <w:tc>
          <w:tcPr>
            <w:tcW w:w="25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FYC/AGC/515826.00001</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rFonts w:ascii="Times New Roman;Times;Serif" w:hAnsi="Times New Roman;Times;Serif"/>
              </w:rPr>
              <w:t>3 August</w:t>
            </w:r>
            <w:r>
              <w:rPr/>
              <w:t xml:space="preserve"> </w:t>
            </w:r>
            <w:r>
              <w:rPr>
                <w:rFonts w:ascii="Times New Roman;Times;Serif" w:hAnsi="Times New Roman;Times;Serif"/>
              </w:rPr>
              <w:t>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Cayman Islands counsel to the Company in connection with the Company’s registration statement on Form S-8, including all amendments and supplements thereto (the </w:t>
      </w:r>
      <w:r>
        <w:rPr>
          <w:rFonts w:ascii="Times New Roman;Times;Serif" w:hAnsi="Times New Roman;Times;Serif"/>
          <w:b/>
          <w:i w:val="false"/>
          <w:caps w:val="false"/>
          <w:smallCaps w:val="false"/>
          <w:sz w:val="20"/>
        </w:rPr>
        <w:t>Form S-8</w:t>
      </w:r>
      <w:r>
        <w:rPr>
          <w:rFonts w:ascii="Times New Roman;Times;Serif" w:hAnsi="Times New Roman;Times;Serif"/>
          <w:b w:val="false"/>
          <w:i w:val="false"/>
          <w:caps w:val="false"/>
          <w:smallCaps w:val="false"/>
          <w:sz w:val="20"/>
        </w:rPr>
        <w:t xml:space="preserve">), as filed with the United States Securities and Exchange Commission under the United States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on or about the date hereof. The Form S-8 relates to the registration under the Act of the ordinary shares of par value of US$0.0001 each to be issued by the Company pursuant to 2026 Omnibus Incentive Plan of the Company as approved by way of the written resolution of the sole director of the Company dated 25 June 2026 (the </w:t>
      </w:r>
      <w:r>
        <w:rPr>
          <w:rFonts w:ascii="Times New Roman;Times;Serif" w:hAnsi="Times New Roman;Times;Serif"/>
          <w:b/>
          <w:i w:val="false"/>
          <w:caps w:val="false"/>
          <w:smallCaps w:val="false"/>
          <w:sz w:val="20"/>
        </w:rPr>
        <w:t>Equity Incentive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(as defined below). A reference to a Schedule is a reference to a schedule to this opinion and the headings herein are for convenience only and do not affect the construction of this opinion.</w:t>
      </w:r>
    </w:p>
    <w:p>
      <w:pPr>
        <w:pStyle w:val="TextBody"/>
        <w:bidi w:val="0"/>
        <w:spacing w:before="0" w:after="0"/>
        <w:ind w:left="0" w:right="0" w:hanging="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originals, copies, or drafts of the following documents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incorporation of the Company dated 19 September 2025 issued by the Registrar of Companies of the Cayman Islands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 amended and restated memorandum and articles of association of the Company adopted by special resolution dated 28 July 2026 (the </w:t>
            </w:r>
            <w:r>
              <w:rPr>
                <w:rFonts w:ascii="Times New Roman;Times;Serif" w:hAnsi="Times New Roman;Times;Serif"/>
                <w:b/>
                <w:i w:val="false"/>
                <w:caps w:val="false"/>
                <w:smallCaps w:val="false"/>
                <w:sz w:val="20"/>
              </w:rPr>
              <w:t>Memorandum and Articles</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good standing dated 23 July 2026 (the </w:t>
            </w:r>
            <w:r>
              <w:rPr>
                <w:rFonts w:ascii="Times New Roman;Times;Serif" w:hAnsi="Times New Roman;Times;Serif"/>
                <w:b/>
                <w:i w:val="false"/>
                <w:caps w:val="false"/>
                <w:smallCaps w:val="false"/>
                <w:sz w:val="20"/>
              </w:rPr>
              <w:t>Good Standing Certificate</w:t>
            </w:r>
            <w:r>
              <w:rPr>
                <w:rFonts w:ascii="Times New Roman;Times;Serif" w:hAnsi="Times New Roman;Times;Serif"/>
                <w:b w:val="false"/>
                <w:i w:val="false"/>
                <w:caps w:val="false"/>
                <w:smallCaps w:val="false"/>
                <w:sz w:val="20"/>
              </w:rPr>
              <w:t>) issued by the Registrar in respect of the Company;</w:t>
            </w:r>
          </w:p>
        </w:tc>
      </w:tr>
    </w:tbl>
    <w:p>
      <w:pPr>
        <w:pStyle w:val="TextBody"/>
        <w:bidi w:val="0"/>
        <w:spacing w:before="0" w:after="0"/>
        <w:ind w:left="1418" w:right="0" w:hanging="709"/>
        <w:jc w:val="both"/>
        <w:rPr>
          <w:caps w:val="false"/>
          <w:smallCaps w:val="false"/>
        </w:rPr>
      </w:pPr>
      <w:r>
        <w:rPr>
          <w:caps w:val="false"/>
          <w:smallCaps w:val="false"/>
        </w:rPr>
        <w:t> </w:t>
      </w:r>
    </w:p>
    <w:tbl>
      <w:tblPr>
        <w:tblW w:w="9920" w:type="dxa"/>
        <w:jc w:val="left"/>
        <w:tblInd w:w="0" w:type="dxa"/>
        <w:tblLayout w:type="fixed"/>
        <w:tblCellMar>
          <w:top w:w="0" w:type="dxa"/>
          <w:left w:w="0" w:type="dxa"/>
          <w:bottom w:w="0" w:type="dxa"/>
          <w:right w:w="0" w:type="dxa"/>
        </w:tblCellMar>
      </w:tblPr>
      <w:tblGrid>
        <w:gridCol w:w="3515"/>
        <w:gridCol w:w="1535"/>
        <w:gridCol w:w="1655"/>
        <w:gridCol w:w="3215"/>
      </w:tblGrid>
      <w:tr>
        <w:trPr/>
        <w:tc>
          <w:tcPr>
            <w:tcW w:w="3515"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British Virgin Islands,</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and Guernsey laws</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11 Central Tower</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Queen’s Road Central</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+852 3656 6000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+852 3656 6001</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tc>
        <w:tc>
          <w:tcPr>
            <w:tcW w:w="1535" w:type="dxa"/>
            <w:tcBorders/>
            <w:vAlign w:val="center"/>
          </w:tcPr>
          <w:p>
            <w:pPr>
              <w:pStyle w:val="TableContents"/>
              <w:bidi w:val="0"/>
              <w:spacing w:before="0" w:after="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Nicholas Plowman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Powell</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Oakes</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Payne</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Kate Hodson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Nelson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Joanne Collett</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Dennis Li</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Cecilia Li</w:t>
            </w:r>
          </w:p>
        </w:tc>
        <w:tc>
          <w:tcPr>
            <w:tcW w:w="1655" w:type="dxa"/>
            <w:tcBorders/>
            <w:vAlign w:val="center"/>
          </w:tcPr>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Yuki Yan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Lin</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Wong</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Janice Chu</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 Rong Ooi</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Huang**</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 Chan*</w:t>
            </w:r>
            <w:r>
              <w:rPr>
                <w:rFonts w:ascii="Times New Roman;Times;Serif" w:hAnsi="Times New Roman;Times;Serif"/>
                <w:b w:val="false"/>
                <w:i w:val="false"/>
                <w:caps w:val="false"/>
                <w:smallCaps w:val="false"/>
                <w:position w:val="7"/>
                <w:sz w:val="16"/>
                <w:sz w:val="20"/>
              </w:rPr>
              <w:t>‡</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Bennett**</w:t>
            </w:r>
            <w:r>
              <w:rPr>
                <w:rFonts w:ascii="Times New Roman;Times;Serif" w:hAnsi="Times New Roman;Times;Serif"/>
                <w:b w:val="false"/>
                <w:i w:val="false"/>
                <w:caps w:val="false"/>
                <w:smallCaps w:val="false"/>
                <w:position w:val="7"/>
                <w:sz w:val="16"/>
                <w:sz w:val="20"/>
              </w:rPr>
              <w:t>‡</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Bergstrom</w:t>
            </w:r>
            <w:r>
              <w:rPr>
                <w:rFonts w:ascii="Times New Roman;Times;Serif" w:hAnsi="Times New Roman;Times;Serif"/>
                <w:b w:val="false"/>
                <w:i w:val="false"/>
                <w:caps w:val="false"/>
                <w:smallCaps w:val="false"/>
                <w:position w:val="7"/>
                <w:sz w:val="16"/>
                <w:sz w:val="20"/>
              </w:rPr>
              <w:t>‡</w:t>
            </w:r>
          </w:p>
        </w:tc>
        <w:tc>
          <w:tcPr>
            <w:tcW w:w="3215" w:type="dxa"/>
            <w:tcBorders/>
            <w:vAlign w:val="center"/>
          </w:tcPr>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New Zealand</w:t>
            </w:r>
          </w:p>
          <w:p>
            <w:pPr>
              <w:pStyle w:val="TableContents"/>
              <w:bidi w:val="0"/>
              <w:spacing w:before="0" w:after="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admitted in England and Wales</w:t>
            </w:r>
          </w:p>
          <w:p>
            <w:pPr>
              <w:pStyle w:val="TableContents"/>
              <w:bidi w:val="0"/>
              <w:spacing w:before="0" w:after="2"/>
              <w:jc w:val="left"/>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20"/>
              </w:rPr>
              <w:t>not ordinarily resident in Hong Kong</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p>
      <w:pPr>
        <w:pStyle w:val="TextBody"/>
        <w:bidi w:val="0"/>
        <w:spacing w:before="0" w:after="0"/>
        <w:ind w:left="1418" w:right="0" w:hanging="709"/>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245"/>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register of directors and officers of the Company filed with the Registrar on 19 September 2025 (the </w:t>
            </w:r>
            <w:r>
              <w:rPr>
                <w:rFonts w:ascii="Times New Roman;Times;Serif" w:hAnsi="Times New Roman;Times;Serif"/>
                <w:b/>
                <w:i w:val="false"/>
                <w:caps w:val="false"/>
                <w:smallCaps w:val="false"/>
                <w:sz w:val="20"/>
              </w:rPr>
              <w:t>ROD</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23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register of members of the Company as at 12 May 2026 (the </w:t>
            </w:r>
            <w:r>
              <w:rPr>
                <w:rFonts w:ascii="Times New Roman;Times;Serif" w:hAnsi="Times New Roman;Times;Serif"/>
                <w:b/>
                <w:i w:val="false"/>
                <w:caps w:val="false"/>
                <w:smallCaps w:val="false"/>
                <w:sz w:val="20"/>
              </w:rPr>
              <w:t>ROM</w:t>
            </w:r>
            <w:r>
              <w:rPr>
                <w:rFonts w:ascii="Times New Roman;Times;Serif" w:hAnsi="Times New Roman;Times;Serif"/>
                <w:b w:val="false"/>
                <w:i w:val="false"/>
                <w:caps w:val="false"/>
                <w:smallCaps w:val="false"/>
                <w:sz w:val="20"/>
              </w:rPr>
              <w:t xml:space="preserve">, and together with the ROD, the </w:t>
            </w:r>
            <w:r>
              <w:rPr>
                <w:rFonts w:ascii="Times New Roman;Times;Serif" w:hAnsi="Times New Roman;Times;Serif"/>
                <w:b/>
                <w:i w:val="false"/>
                <w:caps w:val="false"/>
                <w:smallCaps w:val="false"/>
                <w:sz w:val="20"/>
              </w:rPr>
              <w:t>Registers</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written resolutions of the sole director of the Company dated 25 June 2026 approving,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the Company’s adoption of the Equity Incentive Plan (the </w:t>
            </w:r>
            <w:r>
              <w:rPr>
                <w:rFonts w:ascii="Times New Roman;Times;Serif" w:hAnsi="Times New Roman;Times;Serif"/>
                <w:b/>
                <w:i w:val="false"/>
                <w:caps w:val="false"/>
                <w:smallCaps w:val="false"/>
                <w:sz w:val="20"/>
              </w:rPr>
              <w:t>Reviewed Resolutions</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38"/>
        <w:gridCol w:w="245"/>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from a director of the Company dated 29 July 2026 as to certain matters of facts (the </w:t>
            </w: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09"/>
        <w:jc w:val="both"/>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24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S-8; and</w:t>
            </w:r>
          </w:p>
        </w:tc>
      </w:tr>
    </w:tbl>
    <w:p>
      <w:pPr>
        <w:pStyle w:val="TextBody"/>
        <w:bidi w:val="0"/>
        <w:spacing w:before="0" w:after="0"/>
        <w:ind w:left="1418" w:right="0" w:hanging="709"/>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0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Plan as exhibited to the Form S-8.</w:t>
            </w:r>
          </w:p>
        </w:tc>
      </w:tr>
    </w:tbl>
    <w:p>
      <w:pPr>
        <w:pStyle w:val="TextBody"/>
        <w:bidi w:val="0"/>
        <w:spacing w:before="0" w:after="0"/>
        <w:ind w:left="1418" w:right="0" w:hanging="709"/>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709" w:right="0" w:hanging="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3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original documents examined by us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copy documents examined by us (whether in facsimile, electronic or other form) conform to the originals and those originals are authentic and complete;</w:t>
            </w:r>
          </w:p>
        </w:tc>
      </w:tr>
    </w:tbl>
    <w:p>
      <w:pPr>
        <w:pStyle w:val="TextBody"/>
        <w:bidi w:val="0"/>
        <w:spacing w:before="0" w:after="0"/>
        <w:ind w:left="1418" w:right="0" w:hanging="709"/>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3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seals, dates, stamps and markings (whether on original or copy documents) are genuine;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Registers, the Director’s Certificate and the Equity Incentive Plan is accurate, complete and up-to-date (as the case may be) as at the date of this opinion;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provided to us are in full force and effect and have not been amended, varied, supplemented or revoked in any respect;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copies of the Form S-8 are true and correct copies and the Form S-8 conforms in every material respect to the latest drafts of the same produced to us and, where the Form S-8 has been provided to us in successive drafts marked to show changes from a previous draft, all such changes have been accurately marked;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Reviewed Resolutions have been duly passed in accordance with the Company’s articles of association then in effect and remains in full force and effect;</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directors of the Company has acted in good faith with a view to the best interests of the Company and has exercised the standard of care, diligence and skill that is required of him or her in approving the Equity Incentive Plan;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directors and shareholders of the Company have taken any steps to wind up the Company or to appoint a liquidator of the Company and no receiver or restructuring officer has been appointed over any of the Company’s property or assets;</w:t>
            </w:r>
          </w:p>
        </w:tc>
      </w:tr>
    </w:tbl>
    <w:p>
      <w:pPr>
        <w:pStyle w:val="TextBody"/>
        <w:bidi w:val="0"/>
        <w:spacing w:before="0" w:after="0"/>
        <w:ind w:left="1418" w:right="0" w:hanging="709"/>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maximum number of shares which the Company is required to issue under the Equity Incentive Plan to fulfil its obligation (the </w:t>
            </w:r>
            <w:r>
              <w:rPr>
                <w:rFonts w:ascii="Times New Roman;Times;Serif" w:hAnsi="Times New Roman;Times;Serif"/>
                <w:b/>
                <w:i w:val="false"/>
                <w:caps w:val="false"/>
                <w:smallCaps w:val="false"/>
                <w:sz w:val="20"/>
              </w:rPr>
              <w:t>ESOP Shares</w:t>
            </w:r>
            <w:r>
              <w:rPr>
                <w:rFonts w:ascii="Times New Roman;Times;Serif" w:hAnsi="Times New Roman;Times;Serif"/>
                <w:b w:val="false"/>
                <w:i w:val="false"/>
                <w:caps w:val="false"/>
                <w:smallCaps w:val="false"/>
                <w:sz w:val="20"/>
              </w:rPr>
              <w:t>) will not exceed the Company’s authorised share capital then in place;</w:t>
            </w:r>
          </w:p>
        </w:tc>
      </w:tr>
    </w:tbl>
    <w:p>
      <w:pPr>
        <w:pStyle w:val="TextBody"/>
        <w:bidi w:val="0"/>
        <w:spacing w:before="0" w:after="0"/>
        <w:ind w:left="1418" w:right="0" w:hanging="709"/>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45"/>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payable for each ESOP Share shall be no less than the par value of the ESOP Shares; and</w:t>
            </w:r>
          </w:p>
        </w:tc>
      </w:tr>
    </w:tbl>
    <w:p>
      <w:pPr>
        <w:pStyle w:val="TextBody"/>
        <w:bidi w:val="0"/>
        <w:spacing w:before="0" w:after="0"/>
        <w:ind w:left="1418" w:right="0" w:hanging="709"/>
        <w:jc w:val="both"/>
        <w:rPr>
          <w:caps w:val="false"/>
          <w:smallCaps w:val="false"/>
        </w:rPr>
      </w:pPr>
      <w:r>
        <w:rPr>
          <w:caps w:val="false"/>
          <w:smallCaps w:val="false"/>
        </w:rPr>
        <w:t> </w:t>
      </w:r>
    </w:p>
    <w:tbl>
      <w:tblPr>
        <w:tblW w:w="10128" w:type="dxa"/>
        <w:jc w:val="left"/>
        <w:tblInd w:w="0" w:type="dxa"/>
        <w:tblLayout w:type="fixed"/>
        <w:tblCellMar>
          <w:top w:w="0" w:type="dxa"/>
          <w:left w:w="0" w:type="dxa"/>
          <w:bottom w:w="0" w:type="dxa"/>
          <w:right w:w="0" w:type="dxa"/>
        </w:tblCellMar>
      </w:tblPr>
      <w:tblGrid>
        <w:gridCol w:w="38"/>
        <w:gridCol w:w="20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nothing under any law (other than the laws of the Cayman Islands), that would or might affect the opinions herein.</w:t>
            </w:r>
          </w:p>
        </w:tc>
      </w:tr>
    </w:tbl>
    <w:p>
      <w:pPr>
        <w:pStyle w:val="TextBody"/>
        <w:bidi w:val="0"/>
        <w:spacing w:before="0" w:after="0"/>
        <w:ind w:left="1418" w:right="0" w:hanging="709"/>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40"/>
        <w:gridCol w:w="8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 of the Documents and assumptions referred to above and subject to the limitations and qualifications set forth in paragraph 4 below, we are of the opinion that: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the Memorandum, the authorised share capital of the Company is US$200,000 divided into 2,000,000,000 ordinary shares of par value US$0.0001 each.</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 Issuance of ESOP Shares</w:t>
      </w:r>
    </w:p>
    <w:p>
      <w:pPr>
        <w:pStyle w:val="TextBody"/>
        <w:bidi w:val="0"/>
        <w:spacing w:before="0" w:after="0"/>
        <w:ind w:left="70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ESOP Shares to be issued under the Equity Incentive Plan have been duly authorised by all necessary corporate actions of the Company under the Memorandum and Articles and, upon the issuance and delivery of the ESOP Shares in accordance with the Memorandum and Articles, the Reviewed Resolutions and the terms of the Equity Incentive Plan, and once consideration of not less than the par value per ESOP Share is fully paid in accordance with the Equity Incentive Plan to the Company, the ESOP Shares will be validly issued, fully paid and non-assessable.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register of members of the Company has been updated to reflect the issuance of the ESOP Shares, the shareholders recorded in the register of members of the Company will be deemed to have legal title to the shares of the Company set out against their respective name.</w:t>
            </w:r>
          </w:p>
        </w:tc>
      </w:tr>
    </w:tbl>
    <w:p>
      <w:pPr>
        <w:pStyle w:val="TextBody"/>
        <w:bidi w:val="0"/>
        <w:spacing w:before="0" w:after="0"/>
        <w:ind w:left="1418" w:right="0" w:hanging="709"/>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40"/>
        <w:gridCol w:w="263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and Qualifications</w:t>
            </w:r>
          </w:p>
        </w:tc>
      </w:tr>
    </w:tbl>
    <w:p>
      <w:pPr>
        <w:pStyle w:val="TextBody"/>
        <w:bidi w:val="0"/>
        <w:spacing w:before="0" w:after="0"/>
        <w:ind w:left="709" w:right="0" w:hanging="709"/>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tc>
      </w:tr>
    </w:tbl>
    <w:p>
      <w:pPr>
        <w:pStyle w:val="TextBody"/>
        <w:bidi w:val="0"/>
        <w:spacing w:before="0" w:after="0"/>
        <w:ind w:left="709"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laws other than the laws of the Cayman Islands, and we have not, for the purposes of this opinion, made any investigation of the laws of any other jurisdiction, and we express no opinion as to the meaning, validity, or effect of references in the Equity Incentive Plan to statutes, rules, regulations, codes or judicial authority of any jurisdiction other than the Cayman Islands;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this opinion expressly provides otherwise, as to the commercial terms of, or the validity, enforceability or effect of the Form S-8, the accuracy of representations, the fulfilment of warranties or conditions, the occurrence of events of default or terminating events or the existence of any conflicts or inconsistencies among the Form S-8 and any other agreements into which the Company may have entered or any other documents.</w:t>
            </w:r>
          </w:p>
        </w:tc>
      </w:tr>
    </w:tbl>
    <w:p>
      <w:pPr>
        <w:pStyle w:val="TextBody"/>
        <w:bidi w:val="0"/>
        <w:spacing w:before="0" w:after="0"/>
        <w:ind w:left="1418" w:right="0" w:hanging="709"/>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Page </w:t>
      </w: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4</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(Revised)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40"/>
        <w:gridCol w:w="25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w:t>
            </w:r>
          </w:p>
        </w:tc>
      </w:tr>
    </w:tbl>
    <w:p>
      <w:pPr>
        <w:pStyle w:val="TextBody"/>
        <w:bidi w:val="0"/>
        <w:spacing w:before="0" w:after="0"/>
        <w:ind w:left="709" w:right="0" w:hanging="709"/>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3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governed by, and shall be construed in accordance with,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45"/>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to the matters expressly stated in it; and</w:t>
            </w:r>
          </w:p>
        </w:tc>
      </w:tr>
    </w:tbl>
    <w:p>
      <w:pPr>
        <w:pStyle w:val="TextBody"/>
        <w:bidi w:val="0"/>
        <w:spacing w:before="0" w:after="0"/>
        <w:ind w:left="1418" w:right="0" w:hanging="709"/>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3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confined to, and given on the basis of, the laws and practice in the Cayman Islands at the date of this opinion.</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140"/>
        <w:gridCol w:w="77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Reliance</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Form S-8.</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Form S-8 while the Equity Incentive Plan is effective.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tbl>
      <w:tblPr>
        <w:tblW w:w="950" w:type="dxa"/>
        <w:jc w:val="left"/>
        <w:tblInd w:w="0" w:type="dxa"/>
        <w:tblLayout w:type="fixed"/>
        <w:tblCellMar>
          <w:top w:w="0" w:type="dxa"/>
          <w:left w:w="0" w:type="dxa"/>
          <w:bottom w:w="28" w:type="dxa"/>
          <w:right w:w="0" w:type="dxa"/>
        </w:tblCellMar>
      </w:tblPr>
      <w:tblGrid>
        <w:gridCol w:w="875"/>
        <w:gridCol w:w="75"/>
      </w:tblGrid>
      <w:tr>
        <w:trPr/>
        <w:tc>
          <w:tcPr>
            <w:tcW w:w="875" w:type="dxa"/>
            <w:tcBorders>
              <w:bottom w:val="single" w:sz="8" w:space="0" w:color="000000"/>
            </w:tcBorders>
            <w:vAlign w:val="center"/>
          </w:tcPr>
          <w:p>
            <w:pPr>
              <w:pStyle w:val="TableContents"/>
              <w:bidi w:val="0"/>
              <w:spacing w:before="0" w:after="283"/>
              <w:jc w:val="left"/>
              <w:rPr>
                <w:b/>
              </w:rPr>
            </w:pPr>
            <w:r>
              <w:rPr>
                <w:b/>
              </w:rPr>
              <w:t>/s/ Ogier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 w:name="ex23-1.htm"/>
      <w:bookmarkStart w:id="8" w:name="ksex231"/>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incorporation by reference in this Registration Statement on Form S-8 of IMC Rare Earths Ltd (the “Company”) of our report dated May 18, 2026, except for Note 13 and Note 21 as to which the date is June 30, 2026, with respect to our audits of the Company’s consolidated financial statements as of March 31, 2026 and for the year ended, and the combined financial statements as of March 31, 2025 and for the year ended, which appears in the Prospectus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left"/>
        <w:rPr>
          <w:caps w:val="false"/>
          <w:smallCaps w:val="false"/>
        </w:rPr>
      </w:pPr>
      <w:bookmarkStart w:id="9" w:name="ex23-3.htm"/>
      <w:bookmarkStart w:id="10" w:name="ksex233"/>
      <w:bookmarkEnd w:id="9"/>
      <w:bookmarkEnd w:id="1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Australia Consultants Pty Ltd (“ERM”), in connection with the Registration Statement on Form S-8 (and any amendments, supplements and/or exhibits thereto, the “Registration Statement”) of IMC Rare Earths Ltd (the “Company”), hereby consents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incorporation by reference by the Company and use of the technical report dated March 27, 2026, relating to the Itarantim Project (the “Technical Report “), as referenced in the Registration Statement;</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and references to ERM’s name, including ERM’s status as an expert or “qualified person” (as defined in Subpart 1300 of Regulation S-K promulgated by the U.S. Securities and Exchange Commission) on the Company’s website, or in connection with the Registration Statement; and</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extracts from or a summary of the Technical Report on the Company’s website and in the Registration Statement and the use of any information derived, summarized, quoted or referenced from the Technical Report, or portions thereof, that was prepared by ERM, that ERM supervised the preparation of and/or that was reviewed and approved by ERM, that is made available on the Company’s website or included in the Registration Statement.</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is responsible for authoring, and this consent pertains to, the Technical Report. ERM certifies that it has read the Registration Statement and that it fairly and accurately represents the information in the sections of the Technical Report for which it is responsible.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3,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 ERM Consultants Australia Pty Ltd:</w:t>
      </w:r>
    </w:p>
    <w:p>
      <w:pPr>
        <w:pStyle w:val="TextBody"/>
        <w:bidi w:val="0"/>
        <w:jc w:val="both"/>
        <w:rPr>
          <w:caps w:val="false"/>
          <w:smallCaps w:val="false"/>
        </w:rPr>
      </w:pPr>
      <w:r>
        <w:rPr>
          <w:caps w:val="false"/>
          <w:smallCaps w:val="false"/>
        </w:rPr>
        <w:t> </w:t>
      </w:r>
    </w:p>
    <w:tbl>
      <w:tblPr>
        <w:tblW w:w="3995" w:type="dxa"/>
        <w:jc w:val="left"/>
        <w:tblInd w:w="0" w:type="dxa"/>
        <w:tblLayout w:type="fixed"/>
        <w:tblCellMar>
          <w:top w:w="0" w:type="dxa"/>
          <w:left w:w="0" w:type="dxa"/>
          <w:bottom w:w="28" w:type="dxa"/>
          <w:right w:w="0" w:type="dxa"/>
        </w:tblCellMar>
      </w:tblPr>
      <w:tblGrid>
        <w:gridCol w:w="3920"/>
        <w:gridCol w:w="75"/>
      </w:tblGrid>
      <w:tr>
        <w:trPr/>
        <w:tc>
          <w:tcPr>
            <w:tcW w:w="3920" w:type="dxa"/>
            <w:tcBorders>
              <w:bottom w:val="single" w:sz="8" w:space="0" w:color="000000"/>
            </w:tcBorders>
            <w:vAlign w:val="center"/>
          </w:tcPr>
          <w:p>
            <w:pPr>
              <w:pStyle w:val="TableContents"/>
              <w:bidi w:val="0"/>
              <w:spacing w:before="0" w:after="283"/>
              <w:jc w:val="left"/>
              <w:rPr>
                <w:i/>
              </w:rPr>
            </w:pPr>
            <w:r>
              <w:rPr>
                <w:i/>
              </w:rPr>
              <w:t>/s/ Graham M. Jeffress</w:t>
            </w:r>
          </w:p>
        </w:tc>
        <w:tc>
          <w:tcPr>
            <w:tcW w:w="75" w:type="dxa"/>
            <w:tcBorders/>
            <w:tcMar>
              <w:bottom w:w="0" w:type="dxa"/>
            </w:tcMar>
            <w:vAlign w:val="center"/>
          </w:tcPr>
          <w:p>
            <w:pPr>
              <w:pStyle w:val="TableContents"/>
              <w:bidi w:val="0"/>
              <w:spacing w:before="0" w:after="283"/>
              <w:jc w:val="left"/>
              <w:rPr/>
            </w:pPr>
            <w:r>
              <w:rPr/>
              <w:t> </w:t>
            </w:r>
          </w:p>
        </w:tc>
      </w:tr>
      <w:tr>
        <w:trPr/>
        <w:tc>
          <w:tcPr>
            <w:tcW w:w="3920" w:type="dxa"/>
            <w:tcBorders/>
            <w:tcMar>
              <w:bottom w:w="0" w:type="dxa"/>
            </w:tcMar>
            <w:vAlign w:val="center"/>
          </w:tcPr>
          <w:p>
            <w:pPr>
              <w:pStyle w:val="TableContents"/>
              <w:bidi w:val="0"/>
              <w:spacing w:before="0" w:after="283"/>
              <w:jc w:val="left"/>
              <w:rPr/>
            </w:pPr>
            <w:r>
              <w:rPr/>
              <w:t>Name: Graham M. Jeffress</w:t>
            </w:r>
          </w:p>
        </w:tc>
        <w:tc>
          <w:tcPr>
            <w:tcW w:w="75" w:type="dxa"/>
            <w:tcBorders/>
            <w:tcMar>
              <w:bottom w:w="0" w:type="dxa"/>
            </w:tcMar>
            <w:vAlign w:val="center"/>
          </w:tcPr>
          <w:p>
            <w:pPr>
              <w:pStyle w:val="TableContents"/>
              <w:bidi w:val="0"/>
              <w:spacing w:before="0" w:after="283"/>
              <w:jc w:val="left"/>
              <w:rPr/>
            </w:pPr>
            <w:r>
              <w:rPr/>
              <w:t> </w:t>
            </w:r>
          </w:p>
        </w:tc>
      </w:tr>
      <w:tr>
        <w:trPr/>
        <w:tc>
          <w:tcPr>
            <w:tcW w:w="3920" w:type="dxa"/>
            <w:tcBorders/>
            <w:tcMar>
              <w:bottom w:w="0" w:type="dxa"/>
            </w:tcMar>
            <w:vAlign w:val="center"/>
          </w:tcPr>
          <w:p>
            <w:pPr>
              <w:pStyle w:val="TableContents"/>
              <w:bidi w:val="0"/>
              <w:spacing w:before="0" w:after="283"/>
              <w:jc w:val="left"/>
              <w:rPr/>
            </w:pPr>
            <w:r>
              <w:rPr/>
              <w:t>Title: Partner, Technical Mining Services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11" w:name="ex107-1.htm"/>
      <w:bookmarkStart w:id="12" w:name="ksex1071"/>
      <w:bookmarkStart w:id="13" w:name="ex107-1.htm"/>
      <w:bookmarkStart w:id="14" w:name="ksex1071"/>
      <w:bookmarkEnd w:id="13"/>
      <w:bookmarkEnd w:id="14"/>
      <w:r>
        <w:br w:type="page"/>
      </w:r>
    </w:p>
    <w:tbl>
      <w:tblPr>
        <w:tblW w:w="3572" w:type="dxa"/>
        <w:jc w:val="left"/>
        <w:tblInd w:w="0" w:type="dxa"/>
        <w:tblLayout w:type="fixed"/>
        <w:tblCellMar>
          <w:top w:w="28" w:type="dxa"/>
          <w:left w:w="28" w:type="dxa"/>
          <w:bottom w:w="28" w:type="dxa"/>
          <w:right w:w="28" w:type="dxa"/>
        </w:tblCellMar>
      </w:tblPr>
      <w:tblGrid>
        <w:gridCol w:w="3418"/>
        <w:gridCol w:w="154"/>
      </w:tblGrid>
      <w:tr>
        <w:trPr/>
        <w:tc>
          <w:tcPr>
            <w:tcW w:w="357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8"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8" w:type="dxa"/>
            <w:tcBorders/>
            <w:vAlign w:val="center"/>
          </w:tcPr>
          <w:p>
            <w:pPr>
              <w:pStyle w:val="TableContents"/>
              <w:bidi w:val="0"/>
              <w:spacing w:before="0" w:after="283"/>
              <w:jc w:val="left"/>
              <w:rPr>
                <w:b/>
              </w:rPr>
            </w:pPr>
            <w:r>
              <w:rPr>
                <w:b/>
              </w:rPr>
              <w:t xml:space="preserve">IMC Rare Earths Ltd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25"/>
        <w:gridCol w:w="1294"/>
        <w:gridCol w:w="1203"/>
        <w:gridCol w:w="1221"/>
        <w:gridCol w:w="1706"/>
        <w:gridCol w:w="1127"/>
        <w:gridCol w:w="143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25" w:type="dxa"/>
            <w:tcBorders/>
            <w:shd w:fill="E7E7E2" w:val="clear"/>
            <w:vAlign w:val="center"/>
          </w:tcPr>
          <w:p>
            <w:pPr>
              <w:pStyle w:val="TableContents"/>
              <w:bidi w:val="0"/>
              <w:spacing w:before="0" w:after="283"/>
              <w:jc w:val="left"/>
              <w:rPr/>
            </w:pPr>
            <w:r>
              <w:rPr/>
              <w:t xml:space="preserve">Ordinary shares, par value $0.0001 per share </w:t>
            </w:r>
          </w:p>
        </w:tc>
        <w:tc>
          <w:tcPr>
            <w:tcW w:w="1294" w:type="dxa"/>
            <w:tcBorders/>
            <w:shd w:fill="E7E7E2" w:val="clear"/>
            <w:vAlign w:val="center"/>
          </w:tcPr>
          <w:p>
            <w:pPr>
              <w:pStyle w:val="TableContents"/>
              <w:bidi w:val="0"/>
              <w:spacing w:before="0" w:after="283"/>
              <w:jc w:val="center"/>
              <w:rPr/>
            </w:pPr>
            <w:r>
              <w:rPr/>
              <w:t xml:space="preserve">457(a) </w:t>
            </w:r>
          </w:p>
        </w:tc>
        <w:tc>
          <w:tcPr>
            <w:tcW w:w="1203" w:type="dxa"/>
            <w:tcBorders/>
            <w:shd w:fill="E7E7E2" w:val="clear"/>
            <w:vAlign w:val="center"/>
          </w:tcPr>
          <w:p>
            <w:pPr>
              <w:pStyle w:val="TableContents"/>
              <w:bidi w:val="0"/>
              <w:spacing w:before="0" w:after="283"/>
              <w:jc w:val="right"/>
              <w:rPr/>
            </w:pPr>
            <w:r>
              <w:rPr/>
              <w:t xml:space="preserve">5,400,000 </w:t>
            </w:r>
          </w:p>
        </w:tc>
        <w:tc>
          <w:tcPr>
            <w:tcW w:w="1221" w:type="dxa"/>
            <w:tcBorders/>
            <w:shd w:fill="E7E7E2" w:val="clear"/>
            <w:vAlign w:val="center"/>
          </w:tcPr>
          <w:p>
            <w:pPr>
              <w:pStyle w:val="TableContents"/>
              <w:bidi w:val="0"/>
              <w:spacing w:before="0" w:after="283"/>
              <w:jc w:val="right"/>
              <w:rPr/>
            </w:pPr>
            <w:r>
              <w:rPr/>
              <w:t xml:space="preserve">$ 4.95 </w:t>
            </w:r>
          </w:p>
        </w:tc>
        <w:tc>
          <w:tcPr>
            <w:tcW w:w="1706" w:type="dxa"/>
            <w:tcBorders/>
            <w:shd w:fill="E7E7E2" w:val="clear"/>
            <w:vAlign w:val="center"/>
          </w:tcPr>
          <w:p>
            <w:pPr>
              <w:pStyle w:val="TableContents"/>
              <w:bidi w:val="0"/>
              <w:spacing w:before="0" w:after="283"/>
              <w:jc w:val="right"/>
              <w:rPr/>
            </w:pPr>
            <w:r>
              <w:rPr/>
              <w:t xml:space="preserve">$ 26,730,000.00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30" w:type="dxa"/>
            <w:tcBorders/>
            <w:shd w:fill="E7E7E2" w:val="clear"/>
            <w:vAlign w:val="center"/>
          </w:tcPr>
          <w:p>
            <w:pPr>
              <w:pStyle w:val="TableContents"/>
              <w:bidi w:val="0"/>
              <w:spacing w:before="0" w:after="283"/>
              <w:jc w:val="right"/>
              <w:rPr/>
            </w:pPr>
            <w:r>
              <w:rPr/>
              <w:t xml:space="preserve">$ 3,691.41 </w:t>
            </w:r>
          </w:p>
        </w:tc>
      </w:tr>
      <w:tr>
        <w:trPr/>
        <w:tc>
          <w:tcPr>
            <w:tcW w:w="4721" w:type="dxa"/>
            <w:gridSpan w:val="5"/>
            <w:tcBorders/>
            <w:vAlign w:val="center"/>
          </w:tcPr>
          <w:p>
            <w:pPr>
              <w:pStyle w:val="TableContents"/>
              <w:bidi w:val="0"/>
              <w:spacing w:before="0" w:after="0"/>
              <w:ind w:left="0" w:right="0" w:hanging="0"/>
              <w:jc w:val="right"/>
              <w:rPr/>
            </w:pPr>
            <w:r>
              <w:rPr/>
              <w:t>Total Offering Amounts:</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0"/>
              <w:ind w:left="0" w:right="0" w:hanging="0"/>
              <w:jc w:val="right"/>
              <w:rPr/>
            </w:pPr>
            <w:bookmarkStart w:id="15" w:name="MaxAggtOfferingPrice"/>
            <w:bookmarkEnd w:id="15"/>
            <w:r>
              <w:rPr/>
              <w:t xml:space="preserve">$ 26,730,000.00 </w:t>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$ 3,691.41 </w:t>
            </w:r>
          </w:p>
        </w:tc>
      </w:tr>
      <w:tr>
        <w:trPr/>
        <w:tc>
          <w:tcPr>
            <w:tcW w:w="4721" w:type="dxa"/>
            <w:gridSpan w:val="5"/>
            <w:tcBorders/>
            <w:vAlign w:val="center"/>
          </w:tcPr>
          <w:p>
            <w:pPr>
              <w:pStyle w:val="TableContents"/>
              <w:bidi w:val="0"/>
              <w:spacing w:before="0" w:after="0"/>
              <w:ind w:left="0" w:right="0" w:hanging="0"/>
              <w:jc w:val="right"/>
              <w:rPr/>
            </w:pPr>
            <w:r>
              <w:rPr/>
              <w:t xml:space="preserve">Total Fee Offsets: </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721" w:type="dxa"/>
            <w:gridSpan w:val="5"/>
            <w:tcBorders/>
            <w:vAlign w:val="center"/>
          </w:tcPr>
          <w:p>
            <w:pPr>
              <w:pStyle w:val="TableContents"/>
              <w:bidi w:val="0"/>
              <w:spacing w:before="0" w:after="0"/>
              <w:ind w:left="0" w:right="0" w:hanging="0"/>
              <w:jc w:val="right"/>
              <w:rPr/>
            </w:pPr>
            <w:r>
              <w:rPr/>
              <w:t xml:space="preserve">Net Fee Due: </w:t>
            </w:r>
          </w:p>
        </w:tc>
        <w:tc>
          <w:tcPr>
            <w:tcW w:w="122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0"/>
              <w:ind w:left="0" w:right="0" w:hanging="0"/>
              <w:jc w:val="right"/>
              <w:rPr/>
            </w:pPr>
            <w:bookmarkStart w:id="18" w:name="NetFeeAmt"/>
            <w:bookmarkEnd w:id="18"/>
            <w:r>
              <w:rPr/>
              <w:t xml:space="preserve">$ 3,691.41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This Registration Statement on Form S-8 covers (i) 5,400,000 ordinary shares, par value $0.0001 per share, of IMC Rare Earths Ltd. (the "Ordinary Shares") authorized to be issued under the IMC Rare Earths Ltd 2026 Omnibus Incentive Plan (the "Plan"), and (ii) pursuant to Rule 416(a) under the Securities Act of 1933, as amended (the "Securities Act"), such indeterminate number of additional Ordinary Shares as may become issuable to prevent dilution in the event of stock splits, stock dividends or similar transactions pursuant to the terms of the Plan. The price per share was calculated in accordance with Rule 457(c) and (h) of the Securities Act for purposes of calculating the registration fee. The maximum aggregate offering price was computed based on the average of the high and low price of the Ordinary Shares on July 29,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98395/000149315226035207/form424b4.htm" TargetMode="External"/><Relationship Id="rId3" Type="http://schemas.openxmlformats.org/officeDocument/2006/relationships/hyperlink" Target="https://www.sec.gov/Archives/edgar/data/2098395/000149315226031322/ex3-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15170</Words>
  <Characters>78927</Characters>
  <CharactersWithSpaces>94143</CharactersWithSpaces>
  <Paragraphs>1024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